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ABA624E">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textAlignment w:val="auto"/>
        <w:rPr>
          <w:rFonts w:hint="eastAsia" w:ascii="仿宋_GB2312" w:hAnsi="仿宋_GB2312" w:eastAsia="仿宋_GB2312" w:cs="仿宋_GB2312"/>
          <w:b/>
          <w:bCs/>
          <w:color w:val="auto"/>
          <w:sz w:val="32"/>
          <w:szCs w:val="32"/>
          <w:highlight w:val="none"/>
          <w:lang w:val="en-US" w:eastAsia="zh-CN"/>
        </w:rPr>
      </w:pPr>
      <w:r>
        <w:rPr>
          <w:rFonts w:hint="eastAsia" w:ascii="仿宋_GB2312" w:hAnsi="仿宋_GB2312" w:eastAsia="仿宋_GB2312" w:cs="仿宋_GB2312"/>
          <w:b/>
          <w:bCs/>
          <w:color w:val="auto"/>
          <w:sz w:val="32"/>
          <w:szCs w:val="32"/>
          <w:highlight w:val="none"/>
          <w:lang w:eastAsia="zh-CN"/>
        </w:rPr>
        <w:t>附件</w:t>
      </w:r>
      <w:r>
        <w:rPr>
          <w:rFonts w:hint="eastAsia" w:ascii="仿宋_GB2312" w:hAnsi="仿宋_GB2312" w:eastAsia="仿宋_GB2312" w:cs="仿宋_GB2312"/>
          <w:b/>
          <w:bCs/>
          <w:color w:val="auto"/>
          <w:sz w:val="32"/>
          <w:szCs w:val="32"/>
          <w:highlight w:val="none"/>
          <w:lang w:val="en-US" w:eastAsia="zh-CN"/>
        </w:rPr>
        <w:t>1</w:t>
      </w:r>
      <w:r>
        <w:rPr>
          <w:rFonts w:hint="eastAsia" w:ascii="仿宋_GB2312" w:hAnsi="仿宋_GB2312" w:eastAsia="仿宋_GB2312" w:cs="仿宋_GB2312"/>
          <w:b/>
          <w:bCs/>
          <w:color w:val="auto"/>
          <w:sz w:val="32"/>
          <w:szCs w:val="32"/>
          <w:highlight w:val="none"/>
          <w:lang w:eastAsia="zh-CN"/>
        </w:rPr>
        <w:t>：</w:t>
      </w:r>
      <w:r>
        <w:rPr>
          <w:rFonts w:hint="eastAsia" w:ascii="仿宋_GB2312" w:hAnsi="仿宋_GB2312" w:eastAsia="仿宋_GB2312" w:cs="仿宋_GB2312"/>
          <w:b/>
          <w:bCs/>
          <w:color w:val="auto"/>
          <w:sz w:val="32"/>
          <w:szCs w:val="32"/>
          <w:highlight w:val="none"/>
          <w:lang w:val="en-US" w:eastAsia="zh-CN"/>
        </w:rPr>
        <w:t>链主企业需求</w:t>
      </w:r>
    </w:p>
    <w:p w14:paraId="2B386D6A">
      <w:pPr>
        <w:pStyle w:val="2"/>
        <w:rPr>
          <w:rFonts w:hint="eastAsia"/>
          <w:lang w:val="en-US" w:eastAsia="zh-CN"/>
        </w:rPr>
      </w:pPr>
    </w:p>
    <w:p w14:paraId="6B84ED62">
      <w:pPr>
        <w:spacing w:line="520" w:lineRule="exact"/>
        <w:jc w:val="center"/>
        <w:rPr>
          <w:rFonts w:ascii="Times New Roman" w:hAnsi="Times New Roman" w:eastAsia="黑体"/>
          <w:sz w:val="44"/>
          <w:szCs w:val="48"/>
        </w:rPr>
      </w:pPr>
      <w:r>
        <w:rPr>
          <w:rFonts w:ascii="Times New Roman" w:hAnsi="Times New Roman" w:eastAsia="黑体"/>
          <w:sz w:val="44"/>
          <w:szCs w:val="48"/>
        </w:rPr>
        <w:t>万达控股集团有限公司合作需求</w:t>
      </w:r>
    </w:p>
    <w:p w14:paraId="785EA660">
      <w:pPr>
        <w:spacing w:line="520" w:lineRule="exact"/>
        <w:rPr>
          <w:rFonts w:ascii="Times New Roman" w:hAnsi="Times New Roman" w:eastAsia="等线"/>
          <w:sz w:val="36"/>
          <w:szCs w:val="40"/>
        </w:rPr>
      </w:pPr>
      <w:bookmarkStart w:id="0" w:name="_GoBack"/>
      <w:bookmarkEnd w:id="0"/>
    </w:p>
    <w:p w14:paraId="6B9BD3F3">
      <w:pPr>
        <w:spacing w:line="520" w:lineRule="exact"/>
        <w:ind w:firstLine="720" w:firstLineChars="200"/>
        <w:rPr>
          <w:rFonts w:ascii="Times New Roman" w:hAnsi="Times New Roman" w:eastAsia="黑体"/>
          <w:sz w:val="36"/>
          <w:szCs w:val="36"/>
        </w:rPr>
      </w:pPr>
      <w:r>
        <w:rPr>
          <w:rFonts w:ascii="Times New Roman" w:hAnsi="Times New Roman" w:eastAsia="黑体"/>
          <w:sz w:val="36"/>
          <w:szCs w:val="36"/>
        </w:rPr>
        <w:t>企业基本情况</w:t>
      </w:r>
    </w:p>
    <w:p w14:paraId="5C0CDB34">
      <w:pPr>
        <w:spacing w:line="52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万达集团自1988年创建以来，历经30多年的发展，现已成为涵盖原油开采、港口码头、石油化工、海上运输、国际贸易等产业于一体的中国500强企业。近年来，万达围绕高端绿色化工和新材料，实现了从“一滴油到一条轮胎”、从“一滴油到医药中间体”和双向拉伸聚酰亚胺薄膜电子级新材料，成为全国产业链条长且最完整的炼化企业之一，也是全市石化产业丙烯产业链和橡胶轮胎产业链双“链主”企业。集团旗下主板上市公司南京盛航股份拥有万吨级成品油、化学品船舶59艘，是全国最大的民营化工品、成品油海上运输企业。我们规划“十五五”期间发展到90-100艘的船队规模，成为亚洲最大的民营化工品、成品油海上运输企业。万达发起成立的鲁民投控股的上市公司日科化学，并购宁德时代、比亚迪入股的全球最大电解液添加剂龙头企业——山东亘元新材料股份公司，加快新能源赛道布局项目进展顺利。万达先后与中石油、中石化、中燃集团等国央企开展合资合作，打造了全国混合所有制经济发展亮点。公司各类产品远销全球160多个国家和地区。集团荣获全国重合同守信用单位、中国企业管理奖、山东省省长质量奖等荣誉称号，是省委、省政府记一等功表彰的“山东省20家行业领军企业家”获奖企业之一。</w:t>
      </w:r>
    </w:p>
    <w:p w14:paraId="77C24EAA">
      <w:pPr>
        <w:spacing w:line="520" w:lineRule="exact"/>
        <w:ind w:firstLine="720" w:firstLineChars="200"/>
        <w:rPr>
          <w:rFonts w:ascii="Times New Roman" w:hAnsi="Times New Roman" w:eastAsia="黑体"/>
          <w:sz w:val="36"/>
          <w:szCs w:val="36"/>
        </w:rPr>
      </w:pPr>
      <w:r>
        <w:rPr>
          <w:rFonts w:ascii="Times New Roman" w:hAnsi="Times New Roman" w:eastAsia="黑体"/>
          <w:sz w:val="36"/>
          <w:szCs w:val="36"/>
        </w:rPr>
        <w:t>合作需求</w:t>
      </w:r>
    </w:p>
    <w:p w14:paraId="069994B4">
      <w:pPr>
        <w:spacing w:line="52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万达石化集团下设山东天弘化学有限公司、山东宏旭化学股份有限公司、山东威特化工有限公司、山东万达化工有限公司。公司毗邻东营港码头，东港高速贯穿腹地，交通便利，地理位置优越，有着广阔的发展空间和良好的市场前景。</w:t>
      </w:r>
    </w:p>
    <w:p w14:paraId="36FFC680">
      <w:pPr>
        <w:spacing w:line="520" w:lineRule="exact"/>
        <w:ind w:firstLine="640" w:firstLineChars="200"/>
        <w:outlineLvl w:val="0"/>
        <w:rPr>
          <w:rFonts w:ascii="黑体" w:hAnsi="黑体" w:eastAsia="黑体"/>
          <w:color w:val="000000"/>
          <w:kern w:val="0"/>
          <w:sz w:val="32"/>
          <w:szCs w:val="32"/>
        </w:rPr>
      </w:pPr>
    </w:p>
    <w:p w14:paraId="7178F683">
      <w:pPr>
        <w:spacing w:line="520" w:lineRule="exact"/>
        <w:ind w:firstLine="640" w:firstLineChars="200"/>
        <w:outlineLvl w:val="0"/>
        <w:rPr>
          <w:rFonts w:ascii="Times New Roman" w:hAnsi="Times New Roman" w:eastAsia="仿宋_GB2312"/>
          <w:sz w:val="32"/>
          <w:szCs w:val="32"/>
        </w:rPr>
      </w:pPr>
      <w:r>
        <w:rPr>
          <w:rFonts w:ascii="黑体" w:hAnsi="黑体" w:eastAsia="黑体"/>
          <w:color w:val="000000"/>
          <w:kern w:val="0"/>
          <w:sz w:val="32"/>
          <w:szCs w:val="32"/>
        </w:rPr>
        <w:t xml:space="preserve">一、山东天弘化学有限公司 </w:t>
      </w:r>
      <w:r>
        <w:rPr>
          <w:rFonts w:ascii="Times New Roman" w:hAnsi="Times New Roman" w:eastAsia="仿宋_GB2312"/>
          <w:sz w:val="32"/>
          <w:szCs w:val="32"/>
        </w:rPr>
        <w:t>成立于2012年4月，位于东营市东营港经济开发区，是万达控股集团旗下石化板块核心企业，拥有整体设计、一次建成的单套500万吨/年原油一次加工炼化装置，综合加工能力2300多万吨/年，持有440万吨/年进口原油使用配额以及成品油批发、原油进口、燃料油进口等经营资质。公司引进法国阿克森斯汽油加氢技术、丹麦托普索柴油加氢技术，所产汽、柴油全部达到国Ⅵ标准，提前两年完成油品升级；主导产品涵盖汽油、柴油、液化气、丙烷、丙烯、石油焦、油浆、硫酸、MTBE、烷基化油、轻芳烃等，已形成碳三、碳四上下游产业链条。厂区物料输送全部实现管线连接，生产装置实现全厂DCS集中控制。公司已通过ISO质量、环境、职业健康安全、能源管理体系认证和安全生产企业二级标准化达标，实验室通过CNAS认证。引进丹麦托普索WSA湿法硫酸技术，利用厂区装置酸性气生产硫酸，大幅降低二氧化硫、氮氧化物排放，同时副产中压蒸汽用于自有发电；相关装置配套采用脱硝与尾气冷凝工艺，实现环保效益与资源循环利用的双赢。</w:t>
      </w:r>
    </w:p>
    <w:p w14:paraId="728169B0">
      <w:pPr>
        <w:spacing w:line="520" w:lineRule="exact"/>
        <w:ind w:firstLine="643" w:firstLineChars="200"/>
        <w:rPr>
          <w:rFonts w:ascii="Times New Roman" w:hAnsi="Times New Roman" w:eastAsia="仿宋" w:cs="Times New Roman"/>
          <w:b/>
          <w:color w:val="000000"/>
          <w:kern w:val="0"/>
          <w:sz w:val="32"/>
          <w:szCs w:val="32"/>
        </w:rPr>
      </w:pPr>
      <w:r>
        <w:rPr>
          <w:rFonts w:ascii="Times New Roman" w:hAnsi="Times New Roman" w:eastAsia="仿宋" w:cs="Times New Roman"/>
          <w:b/>
          <w:color w:val="000000"/>
          <w:kern w:val="0"/>
          <w:sz w:val="32"/>
          <w:szCs w:val="32"/>
        </w:rPr>
        <w:t>绿色低碳清洁化工生产合作需求</w:t>
      </w:r>
    </w:p>
    <w:p w14:paraId="45C239FD">
      <w:pPr>
        <w:spacing w:line="520" w:lineRule="exact"/>
        <w:ind w:firstLine="643" w:firstLineChars="200"/>
        <w:outlineLvl w:val="1"/>
        <w:rPr>
          <w:rFonts w:ascii="Times New Roman" w:hAnsi="Times New Roman" w:eastAsia="仿宋"/>
          <w:b/>
          <w:bCs/>
          <w:color w:val="000000"/>
          <w:kern w:val="0"/>
          <w:sz w:val="32"/>
          <w:szCs w:val="32"/>
        </w:rPr>
      </w:pPr>
      <w:r>
        <w:rPr>
          <w:rFonts w:ascii="Times New Roman" w:hAnsi="Times New Roman" w:eastAsia="仿宋"/>
          <w:b/>
          <w:bCs/>
          <w:color w:val="000000"/>
          <w:kern w:val="0"/>
          <w:sz w:val="32"/>
          <w:szCs w:val="32"/>
        </w:rPr>
        <w:t>（一）节能降碳与用能设备升级需求</w:t>
      </w:r>
    </w:p>
    <w:p w14:paraId="2F23DC8A">
      <w:pPr>
        <w:spacing w:line="52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一是全厂换热网络优化与低温余热回收利用，进一步降低综合能耗；二是高耗能机泵、压缩机、空冷器等设备的深度节能改造与智能变频控制；三是蒸汽系统优化与凝结水回收利用；四是高效塔盘、高效换热器等节能装备的更新应用。</w:t>
      </w:r>
    </w:p>
    <w:p w14:paraId="061A961A">
      <w:pPr>
        <w:spacing w:line="520" w:lineRule="exact"/>
        <w:ind w:firstLine="643" w:firstLineChars="200"/>
        <w:rPr>
          <w:rFonts w:ascii="Times New Roman" w:hAnsi="Times New Roman" w:eastAsia="仿宋_GB2312"/>
          <w:sz w:val="32"/>
          <w:szCs w:val="32"/>
        </w:rPr>
      </w:pPr>
      <w:r>
        <w:rPr>
          <w:rFonts w:ascii="Times New Roman" w:hAnsi="Times New Roman" w:eastAsia="仿宋"/>
          <w:b/>
          <w:color w:val="000000"/>
          <w:kern w:val="0"/>
          <w:sz w:val="32"/>
          <w:szCs w:val="32"/>
        </w:rPr>
        <w:t>拟对接方向：</w:t>
      </w:r>
      <w:r>
        <w:rPr>
          <w:rFonts w:ascii="Times New Roman" w:hAnsi="Times New Roman" w:eastAsia="仿宋_GB2312"/>
          <w:sz w:val="32"/>
          <w:szCs w:val="32"/>
        </w:rPr>
        <w:t>节能技术服务商、余热回收与换热装备制造企业、高效塔盘及高效换热器供应商、合同能源管理机构。</w:t>
      </w:r>
    </w:p>
    <w:p w14:paraId="6C3EFBA2">
      <w:pPr>
        <w:spacing w:line="520" w:lineRule="exact"/>
        <w:ind w:firstLine="643" w:firstLineChars="200"/>
        <w:rPr>
          <w:rFonts w:ascii="Times New Roman" w:hAnsi="Times New Roman" w:eastAsia="仿宋"/>
          <w:color w:val="000000"/>
          <w:kern w:val="0"/>
          <w:sz w:val="32"/>
          <w:szCs w:val="32"/>
        </w:rPr>
      </w:pPr>
      <w:r>
        <w:rPr>
          <w:rFonts w:ascii="Times New Roman" w:hAnsi="Times New Roman" w:eastAsia="仿宋"/>
          <w:b/>
          <w:color w:val="000000"/>
          <w:kern w:val="0"/>
          <w:sz w:val="32"/>
          <w:szCs w:val="32"/>
        </w:rPr>
        <w:t>合作方式：</w:t>
      </w:r>
      <w:r>
        <w:rPr>
          <w:rFonts w:ascii="Times New Roman" w:hAnsi="Times New Roman" w:eastAsia="仿宋_GB2312"/>
          <w:sz w:val="32"/>
          <w:szCs w:val="32"/>
        </w:rPr>
        <w:t>技术合作、设备采购、联合改造、合同能源管理等。</w:t>
      </w:r>
    </w:p>
    <w:p w14:paraId="23575CC2">
      <w:pPr>
        <w:spacing w:line="520" w:lineRule="exact"/>
        <w:ind w:firstLine="643" w:firstLineChars="200"/>
        <w:outlineLvl w:val="1"/>
        <w:rPr>
          <w:rFonts w:ascii="Times New Roman" w:hAnsi="Times New Roman" w:eastAsia="仿宋"/>
          <w:b/>
          <w:bCs/>
          <w:color w:val="000000"/>
          <w:kern w:val="0"/>
          <w:sz w:val="32"/>
          <w:szCs w:val="32"/>
        </w:rPr>
      </w:pPr>
      <w:r>
        <w:rPr>
          <w:rFonts w:ascii="Times New Roman" w:hAnsi="Times New Roman" w:eastAsia="仿宋"/>
          <w:b/>
          <w:bCs/>
          <w:color w:val="000000"/>
          <w:kern w:val="0"/>
          <w:sz w:val="32"/>
          <w:szCs w:val="32"/>
        </w:rPr>
        <w:t>（二）清洁生产与污染物深度治理需求</w:t>
      </w:r>
    </w:p>
    <w:p w14:paraId="626221B4">
      <w:pPr>
        <w:spacing w:line="52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一是VOCs无组织排放深度治理与泄漏检测与修复（LDAR）体系升级；二是硫回收尾气、加热炉烟气深度治理；三是含油废水近零排放与中水回用；四是危废、固废减量化与资源化利用。</w:t>
      </w:r>
    </w:p>
    <w:p w14:paraId="0FB35DDA">
      <w:pPr>
        <w:spacing w:line="520" w:lineRule="exact"/>
        <w:ind w:firstLine="643" w:firstLineChars="200"/>
        <w:rPr>
          <w:rFonts w:ascii="Times New Roman" w:hAnsi="Times New Roman" w:eastAsia="仿宋_GB2312"/>
          <w:sz w:val="32"/>
          <w:szCs w:val="32"/>
        </w:rPr>
      </w:pPr>
      <w:r>
        <w:rPr>
          <w:rFonts w:ascii="Times New Roman" w:hAnsi="Times New Roman" w:eastAsia="仿宋"/>
          <w:b/>
          <w:color w:val="000000"/>
          <w:kern w:val="0"/>
          <w:sz w:val="32"/>
          <w:szCs w:val="32"/>
        </w:rPr>
        <w:t>拟对接方向：</w:t>
      </w:r>
      <w:r>
        <w:rPr>
          <w:rFonts w:ascii="Times New Roman" w:hAnsi="Times New Roman" w:eastAsia="仿宋_GB2312"/>
          <w:sz w:val="32"/>
          <w:szCs w:val="32"/>
        </w:rPr>
        <w:t>环保治理技术企业、LDAR检测服务机构、废水深度处理与中水回用企业、危废资源化利用企业。</w:t>
      </w:r>
    </w:p>
    <w:p w14:paraId="6784BDB5">
      <w:pPr>
        <w:spacing w:line="520" w:lineRule="exact"/>
        <w:ind w:firstLine="643" w:firstLineChars="200"/>
        <w:rPr>
          <w:rFonts w:ascii="Times New Roman" w:hAnsi="Times New Roman" w:eastAsia="仿宋"/>
          <w:color w:val="000000"/>
          <w:kern w:val="0"/>
          <w:sz w:val="32"/>
          <w:szCs w:val="32"/>
        </w:rPr>
      </w:pPr>
      <w:r>
        <w:rPr>
          <w:rFonts w:ascii="Times New Roman" w:hAnsi="Times New Roman" w:eastAsia="仿宋"/>
          <w:b/>
          <w:color w:val="000000"/>
          <w:kern w:val="0"/>
          <w:sz w:val="32"/>
          <w:szCs w:val="32"/>
        </w:rPr>
        <w:t>合作方式：</w:t>
      </w:r>
      <w:r>
        <w:rPr>
          <w:rFonts w:ascii="Times New Roman" w:hAnsi="Times New Roman" w:eastAsia="仿宋_GB2312"/>
          <w:sz w:val="32"/>
          <w:szCs w:val="32"/>
        </w:rPr>
        <w:t>项目合作、第三方专业服务、技术引进。</w:t>
      </w:r>
    </w:p>
    <w:p w14:paraId="61B6AE7A">
      <w:pPr>
        <w:widowControl/>
        <w:spacing w:line="520" w:lineRule="exact"/>
        <w:ind w:firstLine="640" w:firstLineChars="200"/>
        <w:rPr>
          <w:rFonts w:ascii="黑体" w:hAnsi="黑体" w:eastAsia="黑体"/>
          <w:color w:val="000000"/>
          <w:kern w:val="0"/>
          <w:sz w:val="32"/>
          <w:szCs w:val="32"/>
        </w:rPr>
      </w:pPr>
    </w:p>
    <w:p w14:paraId="2FBEFB98">
      <w:pPr>
        <w:widowControl/>
        <w:spacing w:line="520" w:lineRule="exact"/>
        <w:ind w:firstLine="640" w:firstLineChars="200"/>
        <w:rPr>
          <w:rFonts w:ascii="Times New Roman" w:hAnsi="Times New Roman" w:eastAsia="仿宋_GB2312"/>
          <w:color w:val="000000"/>
          <w:kern w:val="0"/>
          <w:sz w:val="32"/>
          <w:szCs w:val="32"/>
        </w:rPr>
      </w:pPr>
      <w:r>
        <w:rPr>
          <w:rFonts w:ascii="黑体" w:hAnsi="黑体" w:eastAsia="黑体"/>
          <w:color w:val="000000"/>
          <w:kern w:val="0"/>
          <w:sz w:val="32"/>
          <w:szCs w:val="32"/>
        </w:rPr>
        <w:t>二、山东宏旭化学股份有限公司</w:t>
      </w:r>
      <w:r>
        <w:rPr>
          <w:rFonts w:hint="eastAsia" w:ascii="黑体" w:hAnsi="黑体" w:eastAsia="黑体"/>
          <w:color w:val="000000"/>
          <w:kern w:val="0"/>
          <w:sz w:val="32"/>
          <w:szCs w:val="32"/>
          <w:lang w:val="en-US" w:eastAsia="zh-CN"/>
        </w:rPr>
        <w:t xml:space="preserve"> </w:t>
      </w:r>
      <w:r>
        <w:rPr>
          <w:rFonts w:ascii="Times New Roman" w:hAnsi="Times New Roman" w:eastAsia="仿宋_GB2312"/>
          <w:color w:val="000000"/>
          <w:kern w:val="0"/>
          <w:sz w:val="32"/>
          <w:szCs w:val="32"/>
        </w:rPr>
        <w:t>公司主要建有7.5万吨/年甲基丙烯酸甲酯（MMA）生产及原料配套工程项目和阿托伐他汀钙（ATS）原料项目。</w:t>
      </w:r>
      <w:r>
        <w:rPr>
          <w:rFonts w:ascii="Times New Roman" w:hAnsi="Times New Roman" w:eastAsia="仿宋_GB2312"/>
          <w:color w:val="000000"/>
          <w:kern w:val="0"/>
          <w:sz w:val="32"/>
          <w:szCs w:val="32"/>
          <w:lang w:bidi="ar"/>
        </w:rPr>
        <w:t>公司的主导产品为光学级甲基丙烯酸甲酯（MMA），该产品是生产高端聚甲基丙烯酸甲酯（PMMA，俗称有机玻璃）的核心原材料。公司生产的光学MMA纯度高（稳定在99.95%以上）、杂质含量极低，产品质量国际领先，彻底改变了国内高端光学MMA依赖进口的格局，保障了光学仪器、军工光学镜片、航空航天玻璃等领域的产业链安全。</w:t>
      </w:r>
      <w:r>
        <w:rPr>
          <w:rFonts w:ascii="Times New Roman" w:hAnsi="Times New Roman" w:eastAsia="仿宋_GB2312"/>
          <w:color w:val="000000"/>
          <w:kern w:val="0"/>
          <w:sz w:val="32"/>
          <w:szCs w:val="32"/>
        </w:rPr>
        <w:t>产品市场遍布全国各地，出口欧美、东亚、东南亚等多个地区。</w:t>
      </w:r>
    </w:p>
    <w:p w14:paraId="7BB56867">
      <w:pPr>
        <w:widowControl/>
        <w:spacing w:line="520" w:lineRule="exact"/>
        <w:ind w:firstLine="640" w:firstLineChars="200"/>
        <w:rPr>
          <w:rFonts w:ascii="Times New Roman" w:hAnsi="Times New Roman" w:eastAsia="黑体"/>
          <w:color w:val="000000"/>
          <w:kern w:val="0"/>
          <w:sz w:val="32"/>
          <w:szCs w:val="32"/>
        </w:rPr>
      </w:pPr>
      <w:r>
        <w:rPr>
          <w:rFonts w:ascii="Times New Roman" w:hAnsi="Times New Roman" w:eastAsia="黑体"/>
          <w:color w:val="000000"/>
          <w:kern w:val="0"/>
          <w:sz w:val="32"/>
          <w:szCs w:val="32"/>
        </w:rPr>
        <w:t>合作需求</w:t>
      </w:r>
    </w:p>
    <w:p w14:paraId="51F3B105">
      <w:pPr>
        <w:spacing w:line="520" w:lineRule="exact"/>
        <w:ind w:firstLine="643" w:firstLineChars="200"/>
        <w:rPr>
          <w:rFonts w:ascii="楷体_GB2312" w:hAnsi="Times New Roman" w:eastAsia="楷体_GB2312"/>
          <w:b/>
          <w:bCs/>
          <w:color w:val="000000"/>
          <w:kern w:val="0"/>
          <w:sz w:val="32"/>
          <w:szCs w:val="32"/>
          <w:highlight w:val="yellow"/>
        </w:rPr>
      </w:pPr>
      <w:r>
        <w:rPr>
          <w:rFonts w:ascii="楷体_GB2312" w:hAnsi="Times New Roman" w:eastAsia="楷体_GB2312"/>
          <w:b/>
          <w:bCs/>
          <w:color w:val="000000"/>
          <w:sz w:val="32"/>
          <w:szCs w:val="32"/>
        </w:rPr>
        <w:t>（一）</w:t>
      </w:r>
      <w:r>
        <w:rPr>
          <w:rFonts w:ascii="楷体_GB2312" w:hAnsi="Times New Roman" w:eastAsia="楷体_GB2312"/>
          <w:b/>
          <w:bCs/>
          <w:color w:val="000000"/>
          <w:kern w:val="0"/>
          <w:sz w:val="32"/>
          <w:szCs w:val="32"/>
        </w:rPr>
        <w:t>原材料合作</w:t>
      </w:r>
    </w:p>
    <w:p w14:paraId="58852842">
      <w:pPr>
        <w:spacing w:line="520" w:lineRule="exact"/>
        <w:ind w:firstLine="640" w:firstLineChars="20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需与上游化工企业建立长期的供应链合作，稳定获取碳三产业链用各类原材料，包括丙酮（纯度≥99.5%，杂质≤0.01，高锰酸钾时间试验25°C≥35min）8万吨/年，硫酸（纯度≥98%，无可见杂质）20万吨/年，液氨（氨含量≥99.6%，残留物≤0.4，无色透明液体）5万吨/年，甲醇（纯度≥99.9%，水分≤0.1，高锰酸钾时间试验15°C≥60min）6万吨/年，以及对苯二酚（熔点范围171-175℃，灼烧残渣≤0.10）、吩噻嗪（熔点范围172-185℃，灼烧残渣≤1）等助剂。</w:t>
      </w:r>
    </w:p>
    <w:p w14:paraId="1C82F96F">
      <w:pPr>
        <w:spacing w:line="520" w:lineRule="exact"/>
        <w:ind w:firstLine="643" w:firstLineChars="200"/>
        <w:rPr>
          <w:rFonts w:ascii="楷体_GB2312" w:hAnsi="Times New Roman" w:eastAsia="楷体_GB2312"/>
          <w:b/>
          <w:bCs/>
          <w:color w:val="000000"/>
          <w:sz w:val="32"/>
          <w:szCs w:val="32"/>
        </w:rPr>
      </w:pPr>
      <w:r>
        <w:rPr>
          <w:rFonts w:ascii="楷体_GB2312" w:hAnsi="Times New Roman" w:eastAsia="楷体_GB2312"/>
          <w:b/>
          <w:bCs/>
          <w:color w:val="000000"/>
          <w:sz w:val="32"/>
          <w:szCs w:val="32"/>
        </w:rPr>
        <w:t>（二）市场开拓合作</w:t>
      </w:r>
    </w:p>
    <w:p w14:paraId="26DE927A">
      <w:pPr>
        <w:widowControl/>
        <w:numPr>
          <w:ilvl w:val="0"/>
          <w:numId w:val="1"/>
        </w:numPr>
        <w:spacing w:line="520" w:lineRule="exact"/>
        <w:ind w:firstLine="640" w:firstLineChars="20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国内市场</w:t>
      </w:r>
    </w:p>
    <w:p w14:paraId="402FCB66">
      <w:pPr>
        <w:spacing w:line="520" w:lineRule="exact"/>
        <w:ind w:firstLine="640" w:firstLineChars="20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聚焦甲基丙烯酸甲酯、硫酸铵、肌氨酸钠三大核心精细化工产品的市场深耕与拓展。公司产品适配PMMA新材料、塑料加工助剂、高端水性丙烯酸涂料树脂、工业胶粘剂、农业肥料、日化洗护、生物医药等多元下游领域。公司有完善售前、售中、售后全流程服务体系，全力打造品质过硬、口碑优良的精细化工自主品牌。</w:t>
      </w:r>
    </w:p>
    <w:p w14:paraId="5A3C1436">
      <w:pPr>
        <w:spacing w:line="520" w:lineRule="exact"/>
        <w:ind w:firstLine="640" w:firstLineChars="200"/>
        <w:rPr>
          <w:rFonts w:ascii="Times New Roman" w:hAnsi="Times New Roman" w:eastAsia="仿宋_GB2312"/>
          <w:color w:val="000000"/>
          <w:kern w:val="0"/>
          <w:sz w:val="32"/>
          <w:szCs w:val="32"/>
          <w:highlight w:val="yellow"/>
        </w:rPr>
      </w:pPr>
      <w:r>
        <w:rPr>
          <w:rFonts w:ascii="Times New Roman" w:hAnsi="Times New Roman" w:eastAsia="仿宋_GB2312"/>
          <w:color w:val="000000"/>
          <w:kern w:val="0"/>
          <w:sz w:val="32"/>
          <w:szCs w:val="32"/>
        </w:rPr>
        <w:t>秉持互利共赢的合作理念，期待与塑料加工助剂、PMMA新材料、乳液涂料等行业下游优秀企业共同积极搭建战略合作体系，进一步</w:t>
      </w:r>
      <w:r>
        <w:rPr>
          <w:rFonts w:ascii="Times New Roman" w:hAnsi="Times New Roman" w:eastAsia="仿宋_GB2312"/>
          <w:color w:val="000000"/>
          <w:kern w:val="0"/>
          <w:sz w:val="32"/>
          <w:szCs w:val="32"/>
          <w:lang w:bidi="ar"/>
        </w:rPr>
        <w:t>“打造甲基丙烯酸甲酯行业高端品牌”</w:t>
      </w:r>
      <w:r>
        <w:rPr>
          <w:rFonts w:ascii="Times New Roman" w:hAnsi="Times New Roman" w:eastAsia="仿宋_GB2312"/>
          <w:color w:val="000000"/>
          <w:kern w:val="0"/>
          <w:sz w:val="32"/>
          <w:szCs w:val="32"/>
        </w:rPr>
        <w:t>。</w:t>
      </w:r>
    </w:p>
    <w:p w14:paraId="358BB977">
      <w:pPr>
        <w:widowControl/>
        <w:numPr>
          <w:ilvl w:val="0"/>
          <w:numId w:val="1"/>
        </w:numPr>
        <w:spacing w:line="520" w:lineRule="exact"/>
        <w:ind w:firstLine="640" w:firstLineChars="20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国际市场</w:t>
      </w:r>
    </w:p>
    <w:p w14:paraId="4C7C595D">
      <w:pPr>
        <w:spacing w:line="520" w:lineRule="exact"/>
        <w:ind w:firstLine="640" w:firstLineChars="20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公司海外渠道布局在逐步发展，目前已依托优质出口贸易商，成功扎根欧洲、南美、东南亚重点海外市场，拥有稳定的供货渠道、优质的终端客户资源与良好的市场口碑，MMA产品在国际市场具备极强的市场认可度与流通优势。现阶段公司持续扩容海外市场布局，借力各类海外经贸活动、专业化工展会深耕市场、拓展渠道，全方位赋能合作伙伴，诚邀海内外优质贸易商、下游生产企业携手合作。</w:t>
      </w:r>
    </w:p>
    <w:p w14:paraId="7A876DCF">
      <w:pPr>
        <w:spacing w:line="520" w:lineRule="exact"/>
        <w:ind w:firstLine="643" w:firstLineChars="200"/>
        <w:rPr>
          <w:rFonts w:ascii="楷体_GB2312" w:hAnsi="Times New Roman" w:eastAsia="楷体_GB2312"/>
          <w:b/>
          <w:bCs/>
          <w:color w:val="000000"/>
          <w:sz w:val="32"/>
          <w:szCs w:val="32"/>
        </w:rPr>
      </w:pPr>
      <w:r>
        <w:rPr>
          <w:rFonts w:ascii="楷体_GB2312" w:hAnsi="Times New Roman" w:eastAsia="楷体_GB2312"/>
          <w:b/>
          <w:bCs/>
          <w:color w:val="000000"/>
          <w:sz w:val="32"/>
          <w:szCs w:val="32"/>
        </w:rPr>
        <w:t>（三）技术创新合作</w:t>
      </w:r>
    </w:p>
    <w:p w14:paraId="73B13383">
      <w:pPr>
        <w:spacing w:line="520" w:lineRule="exact"/>
        <w:ind w:firstLine="640" w:firstLineChars="20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1、产学研合作需求</w:t>
      </w:r>
    </w:p>
    <w:p w14:paraId="4DDB41CC">
      <w:pPr>
        <w:spacing w:line="520" w:lineRule="exact"/>
        <w:ind w:firstLine="640" w:firstLineChars="20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企业已深耕甲基丙烯酸甲酯（MMA）行业12年，同时，利用氢氰酸法生产肌氨酸钠。持续开展节能减排、降本增效、效率提升是我们的主导方向。需对接国内知名高校，深入进行产品的优化与延伸。共同开展科研攻关与科技成果转化工作。同时，期待与上下游行业企业、科研院所及高校共同承担省级以上重点科研项目。</w:t>
      </w:r>
    </w:p>
    <w:p w14:paraId="7B9096E6">
      <w:pPr>
        <w:spacing w:line="520" w:lineRule="exact"/>
        <w:ind w:firstLine="640" w:firstLineChars="20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2、关键技术合作需求</w:t>
      </w:r>
    </w:p>
    <w:p w14:paraId="7019FA1D">
      <w:pPr>
        <w:spacing w:line="520" w:lineRule="exact"/>
        <w:ind w:firstLine="640" w:firstLineChars="200"/>
        <w:jc w:val="left"/>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1）高效环保水处理技术合作：我司甲基丙烯酸甲酯生产下游硫酸铵反应工段，在物料浓缩工序会持续产生工艺冷凝水，水中含有残留氰根离子，现有常规水处理工艺对氰根离子分离去除效果有限，为解决该问题，现寻求专业成熟的化工水处理技术合作，重点针对硫酸铵浓缩冷凝水工况，开发适配的氰根离子分离及配套技术，高效去除水中氰根污染物，显著提升冷凝水可生化性，大幅降低后续废水处理难度和运行成本，实现废水达标处置与资源化回用。</w:t>
      </w:r>
    </w:p>
    <w:p w14:paraId="26E737BB">
      <w:pPr>
        <w:spacing w:line="520" w:lineRule="exact"/>
        <w:ind w:firstLine="640" w:firstLineChars="200"/>
        <w:jc w:val="left"/>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 xml:space="preserve">（2）精制提纯技术合作：我司粗甲基丙烯酸甲酯物料中残留微量水分、有机杂质及反应副产物，难以在精制工序前彻底脱除。残留的水分和杂质会破坏后续萃取工序分离平衡，造成萃取效率下降、原料损耗增加。为此，我方需对接成熟的粗MMA前置提纯技术，通过工艺优化与技术升级，高效脱除粗品水分及微量杂质，从源头提升物料纯度，有效提高萃取分离效率，降低精制工段能耗，提质降本，优化整体生产工艺水平。  </w:t>
      </w:r>
    </w:p>
    <w:p w14:paraId="5A0DB0F5">
      <w:pPr>
        <w:spacing w:line="520" w:lineRule="exact"/>
        <w:ind w:firstLine="640" w:firstLineChars="20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3）一水肌酸工艺优化技术合作：我司已熟练掌握氢氰酸法肌氨酸钠规模化生产工艺，具备稳定的原料体系、生产设备与供应链配套，拥有良好的产业链延伸基础。为丰富产品矩阵、提升市场综合竞争力，我司计划拓展一水肌酸产品线，现面向行业寻求优质技术方合作，开展一水肌酸全套生产工艺优化、参数调试与产业化落地合作，延伸产业链条，实现产品多元化升级。。</w:t>
      </w:r>
    </w:p>
    <w:p w14:paraId="07483CA7">
      <w:pPr>
        <w:spacing w:line="520" w:lineRule="exact"/>
        <w:ind w:firstLine="643" w:firstLineChars="200"/>
        <w:rPr>
          <w:rFonts w:ascii="楷体_GB2312" w:hAnsi="Times New Roman" w:eastAsia="楷体_GB2312"/>
          <w:b/>
          <w:bCs/>
          <w:color w:val="000000"/>
          <w:sz w:val="32"/>
          <w:szCs w:val="32"/>
        </w:rPr>
      </w:pPr>
      <w:r>
        <w:rPr>
          <w:rFonts w:ascii="楷体_GB2312" w:hAnsi="Times New Roman" w:eastAsia="楷体_GB2312"/>
          <w:b/>
          <w:bCs/>
          <w:color w:val="000000"/>
          <w:sz w:val="32"/>
          <w:szCs w:val="32"/>
        </w:rPr>
        <w:t>（四）人才需求</w:t>
      </w:r>
    </w:p>
    <w:p w14:paraId="7E8AC102">
      <w:pPr>
        <w:spacing w:line="520" w:lineRule="exact"/>
        <w:ind w:firstLine="640" w:firstLineChars="20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为支撑企业持续创新发展，亟需碳三产业链新材料研发工程师、工艺工程师、质量工程师等高端技术人才。同时，企业期待与高校深化合作，通过联合培养博硕、博士后等方式，共同解决企业人才需求，实现高端人才与技术创新协同发展。</w:t>
      </w:r>
    </w:p>
    <w:p w14:paraId="7AB13F33">
      <w:pPr>
        <w:pStyle w:val="2"/>
      </w:pPr>
    </w:p>
    <w:p w14:paraId="078A0DD5">
      <w:pPr>
        <w:widowControl/>
        <w:numPr>
          <w:ilvl w:val="0"/>
          <w:numId w:val="0"/>
        </w:numPr>
        <w:adjustRightInd w:val="0"/>
        <w:snapToGrid w:val="0"/>
        <w:spacing w:line="520" w:lineRule="exact"/>
        <w:ind w:firstLine="640" w:firstLineChars="200"/>
        <w:rPr>
          <w:rFonts w:ascii="Times New Roman" w:hAnsi="Times New Roman" w:eastAsia="仿宋_GB2312"/>
          <w:color w:val="000000"/>
          <w:kern w:val="0"/>
          <w:sz w:val="32"/>
          <w:szCs w:val="32"/>
        </w:rPr>
      </w:pPr>
      <w:r>
        <w:rPr>
          <w:rFonts w:hint="eastAsia" w:ascii="黑体" w:hAnsi="黑体" w:eastAsia="黑体" w:cs="Times New Roman"/>
          <w:color w:val="000000"/>
          <w:kern w:val="0"/>
          <w:sz w:val="32"/>
          <w:szCs w:val="32"/>
          <w:lang w:val="en-US" w:eastAsia="zh-CN"/>
        </w:rPr>
        <w:t>三、</w:t>
      </w:r>
      <w:r>
        <w:rPr>
          <w:rFonts w:ascii="黑体" w:hAnsi="黑体" w:eastAsia="黑体" w:cs="Times New Roman"/>
          <w:color w:val="000000"/>
          <w:kern w:val="0"/>
          <w:sz w:val="32"/>
          <w:szCs w:val="32"/>
        </w:rPr>
        <w:t>山东鸿丰化学有限公司</w:t>
      </w:r>
      <w:r>
        <w:rPr>
          <w:rFonts w:hint="eastAsia" w:ascii="黑体" w:hAnsi="黑体" w:eastAsia="黑体"/>
          <w:color w:val="000000"/>
          <w:kern w:val="0"/>
          <w:sz w:val="32"/>
          <w:szCs w:val="32"/>
          <w:lang w:val="en-US" w:eastAsia="zh-CN"/>
        </w:rPr>
        <w:t xml:space="preserve"> </w:t>
      </w:r>
      <w:r>
        <w:rPr>
          <w:rFonts w:ascii="Times New Roman" w:hAnsi="Times New Roman" w:eastAsia="仿宋_GB2312"/>
          <w:color w:val="000000"/>
          <w:kern w:val="0"/>
          <w:sz w:val="32"/>
          <w:szCs w:val="32"/>
        </w:rPr>
        <w:t>500万吨/年绿色低碳高端化工新材料科技创新示范项目，于2024年3月7日获得省发改委立项备案，现已列入山东省化工产业布局规划和2026年山东省重大项目实施类名单。项目位于东营港经济开发区高端化工产业园，占地3000多亩，总投资176.8亿元，以重劣质燃料油为原料，主要生产高端化工品和新材料。该项目工艺流程短、产品收率高、全部生产化工品，符合高端化、绿色化转型升级要求，建成后将成为世界最大的单系列浆态床加氢装置，推动产业持续向附加值高、经济效益好的价值链高端延伸，全面投产后年可新增销售收入600多亿元，利税近100亿元，具有良好的经济效益和社会效益。</w:t>
      </w:r>
    </w:p>
    <w:p w14:paraId="6E7BAC8A">
      <w:pPr>
        <w:pStyle w:val="2"/>
        <w:numPr>
          <w:ilvl w:val="0"/>
          <w:numId w:val="0"/>
        </w:numPr>
        <w:ind w:leftChars="200" w:right="0" w:rightChars="0"/>
      </w:pPr>
    </w:p>
    <w:p w14:paraId="3445FC85">
      <w:pPr>
        <w:widowControl/>
        <w:spacing w:line="520" w:lineRule="exact"/>
        <w:ind w:firstLine="640" w:firstLineChars="200"/>
        <w:rPr>
          <w:rFonts w:hint="default" w:ascii="Times New Roman" w:hAnsi="Times New Roman" w:eastAsia="黑体" w:cs="Times New Roman"/>
          <w:color w:val="000000"/>
          <w:kern w:val="0"/>
          <w:sz w:val="32"/>
          <w:szCs w:val="32"/>
          <w:lang w:val="en-US" w:eastAsia="zh-CN"/>
        </w:rPr>
      </w:pPr>
      <w:r>
        <w:rPr>
          <w:rFonts w:hint="eastAsia" w:ascii="Times New Roman" w:hAnsi="Times New Roman" w:eastAsia="黑体" w:cs="Times New Roman"/>
          <w:color w:val="000000"/>
          <w:kern w:val="0"/>
          <w:sz w:val="32"/>
          <w:szCs w:val="32"/>
          <w:lang w:val="en-US" w:eastAsia="zh-CN"/>
        </w:rPr>
        <w:t>合作需求</w:t>
      </w:r>
    </w:p>
    <w:p w14:paraId="322D9820">
      <w:pPr>
        <w:widowControl/>
        <w:numPr>
          <w:ilvl w:val="0"/>
          <w:numId w:val="2"/>
        </w:numPr>
        <w:adjustRightInd w:val="0"/>
        <w:snapToGrid w:val="0"/>
        <w:spacing w:line="520" w:lineRule="exact"/>
        <w:ind w:firstLine="643" w:firstLineChars="200"/>
        <w:rPr>
          <w:rFonts w:hint="eastAsia" w:ascii="Times New Roman" w:hAnsi="Times New Roman" w:eastAsia="仿宋_GB2312"/>
          <w:b/>
          <w:bCs/>
          <w:color w:val="000000"/>
          <w:kern w:val="0"/>
          <w:sz w:val="32"/>
          <w:szCs w:val="32"/>
          <w:lang w:val="en-US" w:eastAsia="zh-CN"/>
        </w:rPr>
      </w:pPr>
      <w:r>
        <w:rPr>
          <w:rFonts w:hint="eastAsia" w:ascii="Times New Roman" w:hAnsi="Times New Roman" w:eastAsia="仿宋_GB2312"/>
          <w:b/>
          <w:bCs/>
          <w:color w:val="000000"/>
          <w:kern w:val="0"/>
          <w:sz w:val="32"/>
          <w:szCs w:val="32"/>
          <w:lang w:val="en-US" w:eastAsia="zh-CN"/>
        </w:rPr>
        <w:t>采购合作</w:t>
      </w:r>
    </w:p>
    <w:p w14:paraId="163BB7B8">
      <w:pPr>
        <w:widowControl/>
        <w:numPr>
          <w:ilvl w:val="0"/>
          <w:numId w:val="0"/>
        </w:numPr>
        <w:adjustRightInd w:val="0"/>
        <w:snapToGrid w:val="0"/>
        <w:spacing w:line="520" w:lineRule="exact"/>
        <w:ind w:firstLine="643" w:firstLineChars="200"/>
        <w:rPr>
          <w:rFonts w:ascii="Times New Roman" w:hAnsi="Times New Roman" w:eastAsia="仿宋_GB2312"/>
          <w:color w:val="000000"/>
          <w:kern w:val="0"/>
          <w:sz w:val="32"/>
          <w:szCs w:val="32"/>
          <w:highlight w:val="red"/>
        </w:rPr>
      </w:pPr>
      <w:r>
        <w:rPr>
          <w:rFonts w:ascii="Times New Roman" w:hAnsi="Times New Roman" w:eastAsia="仿宋_GB2312"/>
          <w:b/>
          <w:bCs/>
          <w:color w:val="000000"/>
          <w:kern w:val="0"/>
          <w:sz w:val="32"/>
          <w:szCs w:val="32"/>
        </w:rPr>
        <w:t>1、石油化工设备采购80亿元以上，</w:t>
      </w:r>
      <w:r>
        <w:rPr>
          <w:rFonts w:ascii="Times New Roman" w:hAnsi="Times New Roman" w:eastAsia="仿宋_GB2312"/>
          <w:color w:val="000000"/>
          <w:kern w:val="0"/>
          <w:sz w:val="32"/>
          <w:szCs w:val="32"/>
        </w:rPr>
        <w:t>主要包括：</w:t>
      </w:r>
    </w:p>
    <w:p w14:paraId="1E03EA0D">
      <w:pPr>
        <w:widowControl/>
        <w:adjustRightInd w:val="0"/>
        <w:snapToGrid w:val="0"/>
        <w:spacing w:line="520" w:lineRule="exact"/>
        <w:ind w:firstLine="640" w:firstLineChars="200"/>
        <w:rPr>
          <w:rFonts w:hint="eastAsia" w:ascii="Times New Roman" w:hAnsi="Times New Roman" w:eastAsia="仿宋_GB2312"/>
          <w:color w:val="000000"/>
          <w:kern w:val="0"/>
          <w:sz w:val="32"/>
          <w:szCs w:val="32"/>
          <w:lang w:eastAsia="zh-CN"/>
        </w:rPr>
      </w:pPr>
      <w:r>
        <w:rPr>
          <w:rFonts w:ascii="Times New Roman" w:hAnsi="Times New Roman" w:eastAsia="仿宋_GB2312"/>
          <w:color w:val="000000"/>
          <w:kern w:val="0"/>
          <w:sz w:val="32"/>
          <w:szCs w:val="32"/>
        </w:rPr>
        <w:t>动设备：机泵、风机、压缩机、搅拌设备等</w:t>
      </w:r>
      <w:r>
        <w:rPr>
          <w:rFonts w:hint="eastAsia" w:ascii="Times New Roman" w:hAnsi="Times New Roman" w:eastAsia="仿宋_GB2312"/>
          <w:color w:val="000000"/>
          <w:kern w:val="0"/>
          <w:sz w:val="32"/>
          <w:szCs w:val="32"/>
          <w:lang w:eastAsia="zh-CN"/>
        </w:rPr>
        <w:t>；</w:t>
      </w:r>
    </w:p>
    <w:p w14:paraId="7026AF74">
      <w:pPr>
        <w:widowControl/>
        <w:adjustRightInd w:val="0"/>
        <w:snapToGrid w:val="0"/>
        <w:spacing w:line="520" w:lineRule="exact"/>
        <w:ind w:left="320" w:firstLine="320" w:firstLineChars="100"/>
        <w:rPr>
          <w:rFonts w:hint="eastAsia" w:ascii="Times New Roman" w:hAnsi="Times New Roman" w:eastAsia="仿宋_GB2312"/>
          <w:color w:val="000000"/>
          <w:kern w:val="0"/>
          <w:sz w:val="32"/>
          <w:szCs w:val="32"/>
          <w:lang w:eastAsia="zh-CN"/>
        </w:rPr>
      </w:pPr>
      <w:r>
        <w:rPr>
          <w:rFonts w:ascii="Times New Roman" w:hAnsi="Times New Roman" w:eastAsia="仿宋_GB2312"/>
          <w:color w:val="000000"/>
          <w:kern w:val="0"/>
          <w:sz w:val="32"/>
          <w:szCs w:val="32"/>
        </w:rPr>
        <w:t>静设备：压力容器、塔器、换热器、储罐、锅炉等</w:t>
      </w:r>
      <w:r>
        <w:rPr>
          <w:rFonts w:hint="eastAsia" w:ascii="Times New Roman" w:hAnsi="Times New Roman" w:eastAsia="仿宋_GB2312"/>
          <w:color w:val="000000"/>
          <w:kern w:val="0"/>
          <w:sz w:val="32"/>
          <w:szCs w:val="32"/>
          <w:lang w:eastAsia="zh-CN"/>
        </w:rPr>
        <w:t>；</w:t>
      </w:r>
    </w:p>
    <w:p w14:paraId="3996EEBC">
      <w:pPr>
        <w:widowControl/>
        <w:adjustRightInd w:val="0"/>
        <w:snapToGrid w:val="0"/>
        <w:spacing w:line="520" w:lineRule="exact"/>
        <w:ind w:firstLine="640" w:firstLineChars="200"/>
        <w:rPr>
          <w:rFonts w:hint="eastAsia" w:ascii="Times New Roman" w:hAnsi="Times New Roman" w:eastAsia="仿宋_GB2312"/>
          <w:color w:val="000000"/>
          <w:kern w:val="0"/>
          <w:sz w:val="32"/>
          <w:szCs w:val="32"/>
          <w:lang w:eastAsia="zh-CN"/>
        </w:rPr>
      </w:pPr>
      <w:r>
        <w:rPr>
          <w:rFonts w:ascii="Times New Roman" w:hAnsi="Times New Roman" w:eastAsia="仿宋_GB2312"/>
          <w:color w:val="000000"/>
          <w:kern w:val="0"/>
          <w:sz w:val="32"/>
          <w:szCs w:val="32"/>
        </w:rPr>
        <w:t>仪器仪表：流量计、压力仪表、温度仪表、液位仪表、在线分析仪表、调节阀切断阀等</w:t>
      </w:r>
      <w:r>
        <w:rPr>
          <w:rFonts w:hint="eastAsia" w:ascii="Times New Roman" w:hAnsi="Times New Roman" w:eastAsia="仿宋_GB2312"/>
          <w:color w:val="000000"/>
          <w:kern w:val="0"/>
          <w:sz w:val="32"/>
          <w:szCs w:val="32"/>
          <w:lang w:eastAsia="zh-CN"/>
        </w:rPr>
        <w:t>。</w:t>
      </w:r>
    </w:p>
    <w:p w14:paraId="0C61677C">
      <w:pPr>
        <w:widowControl/>
        <w:adjustRightInd w:val="0"/>
        <w:snapToGrid w:val="0"/>
        <w:spacing w:line="520" w:lineRule="exact"/>
        <w:ind w:firstLine="643" w:firstLineChars="200"/>
        <w:rPr>
          <w:rFonts w:ascii="Times New Roman" w:hAnsi="Times New Roman" w:eastAsia="仿宋_GB2312"/>
          <w:b/>
          <w:bCs/>
          <w:color w:val="000000"/>
          <w:kern w:val="0"/>
          <w:sz w:val="32"/>
          <w:szCs w:val="32"/>
        </w:rPr>
      </w:pPr>
      <w:r>
        <w:rPr>
          <w:rFonts w:ascii="Times New Roman" w:hAnsi="Times New Roman" w:eastAsia="仿宋_GB2312"/>
          <w:b/>
          <w:bCs/>
          <w:color w:val="000000"/>
          <w:kern w:val="0"/>
          <w:sz w:val="32"/>
          <w:szCs w:val="32"/>
        </w:rPr>
        <w:t>2、原材料采购：</w:t>
      </w:r>
    </w:p>
    <w:p w14:paraId="47CF468E">
      <w:pPr>
        <w:widowControl/>
        <w:adjustRightInd w:val="0"/>
        <w:snapToGrid w:val="0"/>
        <w:spacing w:line="520" w:lineRule="exact"/>
        <w:ind w:firstLine="640" w:firstLineChars="200"/>
        <w:rPr>
          <w:rFonts w:hint="eastAsia" w:ascii="Times New Roman" w:hAnsi="Times New Roman" w:eastAsia="仿宋_GB2312"/>
          <w:b w:val="0"/>
          <w:bCs w:val="0"/>
          <w:color w:val="000000"/>
          <w:kern w:val="0"/>
          <w:sz w:val="32"/>
          <w:szCs w:val="32"/>
          <w:lang w:val="en-US" w:eastAsia="zh-CN"/>
        </w:rPr>
      </w:pPr>
      <w:r>
        <w:rPr>
          <w:rFonts w:hint="eastAsia" w:ascii="Times New Roman" w:hAnsi="Times New Roman" w:eastAsia="仿宋_GB2312"/>
          <w:b w:val="0"/>
          <w:bCs w:val="0"/>
          <w:color w:val="000000"/>
          <w:kern w:val="0"/>
          <w:sz w:val="32"/>
          <w:szCs w:val="32"/>
          <w:lang w:eastAsia="zh-CN"/>
        </w:rPr>
        <w:t>（</w:t>
      </w:r>
      <w:r>
        <w:rPr>
          <w:rFonts w:hint="eastAsia" w:ascii="Times New Roman" w:hAnsi="Times New Roman" w:eastAsia="仿宋_GB2312"/>
          <w:b w:val="0"/>
          <w:bCs w:val="0"/>
          <w:color w:val="000000"/>
          <w:kern w:val="0"/>
          <w:sz w:val="32"/>
          <w:szCs w:val="32"/>
          <w:lang w:val="en-US" w:eastAsia="zh-CN"/>
        </w:rPr>
        <w:t>1</w:t>
      </w:r>
      <w:r>
        <w:rPr>
          <w:rFonts w:hint="eastAsia" w:ascii="Times New Roman" w:hAnsi="Times New Roman" w:eastAsia="仿宋_GB2312"/>
          <w:b w:val="0"/>
          <w:bCs w:val="0"/>
          <w:color w:val="000000"/>
          <w:kern w:val="0"/>
          <w:sz w:val="32"/>
          <w:szCs w:val="32"/>
          <w:lang w:eastAsia="zh-CN"/>
        </w:rPr>
        <w:t>）</w:t>
      </w:r>
      <w:r>
        <w:rPr>
          <w:rFonts w:ascii="Times New Roman" w:hAnsi="Times New Roman" w:eastAsia="仿宋_GB2312"/>
          <w:b w:val="0"/>
          <w:bCs w:val="0"/>
          <w:color w:val="000000"/>
          <w:kern w:val="0"/>
          <w:sz w:val="32"/>
          <w:szCs w:val="32"/>
        </w:rPr>
        <w:t>280/380CST燃料油或重劣质燃料油，年需求量500万吨</w:t>
      </w:r>
      <w:r>
        <w:rPr>
          <w:rFonts w:hint="eastAsia" w:ascii="Times New Roman" w:hAnsi="Times New Roman" w:eastAsia="仿宋_GB2312"/>
          <w:b w:val="0"/>
          <w:bCs w:val="0"/>
          <w:color w:val="000000"/>
          <w:kern w:val="0"/>
          <w:sz w:val="32"/>
          <w:szCs w:val="32"/>
          <w:lang w:eastAsia="zh-CN"/>
        </w:rPr>
        <w:t>。</w:t>
      </w:r>
    </w:p>
    <w:p w14:paraId="45103180">
      <w:pPr>
        <w:widowControl/>
        <w:adjustRightInd w:val="0"/>
        <w:snapToGrid w:val="0"/>
        <w:spacing w:line="520" w:lineRule="exact"/>
        <w:ind w:firstLine="640" w:firstLineChars="200"/>
        <w:rPr>
          <w:rFonts w:ascii="Times New Roman" w:hAnsi="Times New Roman" w:eastAsia="仿宋_GB2312"/>
          <w:b w:val="0"/>
          <w:bCs w:val="0"/>
          <w:color w:val="000000"/>
          <w:kern w:val="0"/>
          <w:sz w:val="32"/>
          <w:szCs w:val="32"/>
        </w:rPr>
      </w:pPr>
      <w:r>
        <w:rPr>
          <w:rFonts w:hint="eastAsia" w:ascii="Times New Roman" w:hAnsi="Times New Roman" w:eastAsia="仿宋_GB2312"/>
          <w:b w:val="0"/>
          <w:bCs w:val="0"/>
          <w:color w:val="000000"/>
          <w:kern w:val="0"/>
          <w:sz w:val="32"/>
          <w:szCs w:val="32"/>
          <w:lang w:eastAsia="zh-CN"/>
        </w:rPr>
        <w:t>（</w:t>
      </w:r>
      <w:r>
        <w:rPr>
          <w:rFonts w:hint="eastAsia" w:ascii="Times New Roman" w:hAnsi="Times New Roman" w:eastAsia="仿宋_GB2312"/>
          <w:b w:val="0"/>
          <w:bCs w:val="0"/>
          <w:color w:val="000000"/>
          <w:kern w:val="0"/>
          <w:sz w:val="32"/>
          <w:szCs w:val="32"/>
          <w:lang w:val="en-US" w:eastAsia="zh-CN"/>
        </w:rPr>
        <w:t>2</w:t>
      </w:r>
      <w:r>
        <w:rPr>
          <w:rFonts w:hint="eastAsia" w:ascii="Times New Roman" w:hAnsi="Times New Roman" w:eastAsia="仿宋_GB2312"/>
          <w:b w:val="0"/>
          <w:bCs w:val="0"/>
          <w:color w:val="000000"/>
          <w:kern w:val="0"/>
          <w:sz w:val="32"/>
          <w:szCs w:val="32"/>
          <w:lang w:eastAsia="zh-CN"/>
        </w:rPr>
        <w:t>）</w:t>
      </w:r>
      <w:r>
        <w:rPr>
          <w:rFonts w:ascii="Times New Roman" w:hAnsi="Times New Roman" w:eastAsia="仿宋_GB2312"/>
          <w:b w:val="0"/>
          <w:bCs w:val="0"/>
          <w:color w:val="000000"/>
          <w:kern w:val="0"/>
          <w:sz w:val="32"/>
          <w:szCs w:val="32"/>
        </w:rPr>
        <w:t>国内渣油50-100万吨/年。</w:t>
      </w:r>
    </w:p>
    <w:p w14:paraId="49B66344">
      <w:pPr>
        <w:spacing w:line="520" w:lineRule="exact"/>
        <w:ind w:firstLine="643" w:firstLineChars="200"/>
        <w:rPr>
          <w:rFonts w:hint="default" w:ascii="楷体_GB2312" w:hAnsi="Times New Roman" w:eastAsia="楷体_GB2312" w:cs="Times New Roman"/>
          <w:b/>
          <w:bCs/>
          <w:color w:val="000000"/>
          <w:sz w:val="32"/>
          <w:szCs w:val="32"/>
          <w:lang w:val="en-US" w:eastAsia="zh-CN"/>
        </w:rPr>
      </w:pPr>
      <w:r>
        <w:rPr>
          <w:rFonts w:hint="eastAsia" w:ascii="楷体_GB2312" w:hAnsi="Times New Roman" w:eastAsia="楷体_GB2312" w:cs="Times New Roman"/>
          <w:b/>
          <w:bCs/>
          <w:color w:val="000000"/>
          <w:sz w:val="32"/>
          <w:szCs w:val="32"/>
          <w:lang w:eastAsia="zh-CN"/>
        </w:rPr>
        <w:t>（</w:t>
      </w:r>
      <w:r>
        <w:rPr>
          <w:rFonts w:hint="eastAsia" w:ascii="楷体_GB2312" w:hAnsi="Times New Roman" w:eastAsia="楷体_GB2312" w:cs="Times New Roman"/>
          <w:b/>
          <w:bCs/>
          <w:color w:val="000000"/>
          <w:sz w:val="32"/>
          <w:szCs w:val="32"/>
          <w:lang w:val="en-US" w:eastAsia="zh-CN"/>
        </w:rPr>
        <w:t>二</w:t>
      </w:r>
      <w:r>
        <w:rPr>
          <w:rFonts w:hint="eastAsia" w:ascii="楷体_GB2312" w:hAnsi="Times New Roman" w:eastAsia="楷体_GB2312" w:cs="Times New Roman"/>
          <w:b/>
          <w:bCs/>
          <w:color w:val="000000"/>
          <w:sz w:val="32"/>
          <w:szCs w:val="32"/>
          <w:lang w:eastAsia="zh-CN"/>
        </w:rPr>
        <w:t>）</w:t>
      </w:r>
      <w:r>
        <w:rPr>
          <w:rFonts w:hint="eastAsia" w:ascii="楷体_GB2312" w:hAnsi="Times New Roman" w:eastAsia="楷体_GB2312" w:cs="Times New Roman"/>
          <w:b/>
          <w:bCs/>
          <w:color w:val="000000"/>
          <w:sz w:val="32"/>
          <w:szCs w:val="32"/>
          <w:lang w:val="en-US" w:eastAsia="zh-CN"/>
        </w:rPr>
        <w:t>项目合作</w:t>
      </w:r>
    </w:p>
    <w:p w14:paraId="1BFD3E7E">
      <w:pPr>
        <w:spacing w:line="520" w:lineRule="exact"/>
        <w:ind w:firstLine="643" w:firstLineChars="200"/>
        <w:rPr>
          <w:rFonts w:ascii="Times New Roman" w:hAnsi="Times New Roman" w:eastAsia="仿宋_GB2312"/>
          <w:color w:val="000000"/>
          <w:kern w:val="0"/>
          <w:sz w:val="32"/>
          <w:szCs w:val="32"/>
        </w:rPr>
      </w:pPr>
      <w:r>
        <w:rPr>
          <w:rFonts w:hint="eastAsia" w:ascii="Times New Roman" w:hAnsi="Times New Roman" w:eastAsia="仿宋_GB2312"/>
          <w:b/>
          <w:bCs/>
          <w:color w:val="000000"/>
          <w:kern w:val="0"/>
          <w:sz w:val="32"/>
          <w:szCs w:val="32"/>
          <w:lang w:val="en-US" w:eastAsia="zh-CN"/>
        </w:rPr>
        <w:t>1</w:t>
      </w:r>
      <w:r>
        <w:rPr>
          <w:rFonts w:ascii="Times New Roman" w:hAnsi="Times New Roman" w:eastAsia="仿宋_GB2312"/>
          <w:b/>
          <w:bCs/>
          <w:color w:val="000000"/>
          <w:kern w:val="0"/>
          <w:sz w:val="32"/>
          <w:szCs w:val="32"/>
        </w:rPr>
        <w:t>、石化工程建设招标优质石化工程建设公司：</w:t>
      </w:r>
      <w:r>
        <w:rPr>
          <w:rFonts w:ascii="Times New Roman" w:hAnsi="Times New Roman" w:eastAsia="仿宋_GB2312"/>
          <w:color w:val="000000"/>
          <w:kern w:val="0"/>
          <w:sz w:val="32"/>
          <w:szCs w:val="32"/>
        </w:rPr>
        <w:t>主要建设工程包括：500万吨/年浆态床加氢装置、400万吨/年加氢裂化装置（双系列）、300万吨/年芳烃联合装置（含预加氢单元、重整单元、芳烃抽提单元、芳构化单元、歧化单元和PSA单元）和40万吨/年硫酸装置（双系列）、20万吨/年硫磺回收装置、20万吨顺酐装置以及配套的储运设施、公用辅助设施及厂际管廊、管线。</w:t>
      </w:r>
    </w:p>
    <w:p w14:paraId="6E8AC5CA">
      <w:pPr>
        <w:widowControl/>
        <w:adjustRightInd w:val="0"/>
        <w:snapToGrid w:val="0"/>
        <w:spacing w:line="520" w:lineRule="exact"/>
        <w:ind w:firstLine="643" w:firstLineChars="200"/>
        <w:rPr>
          <w:rFonts w:hint="eastAsia" w:ascii="Times New Roman" w:hAnsi="Times New Roman" w:eastAsia="仿宋_GB2312"/>
          <w:color w:val="000000"/>
          <w:kern w:val="0"/>
          <w:sz w:val="32"/>
          <w:szCs w:val="32"/>
          <w:lang w:eastAsia="zh-CN"/>
        </w:rPr>
      </w:pPr>
      <w:r>
        <w:rPr>
          <w:rFonts w:hint="eastAsia" w:ascii="Times New Roman" w:hAnsi="Times New Roman" w:eastAsia="仿宋_GB2312"/>
          <w:b/>
          <w:bCs/>
          <w:color w:val="000000"/>
          <w:kern w:val="0"/>
          <w:sz w:val="32"/>
          <w:szCs w:val="32"/>
          <w:lang w:val="en-US" w:eastAsia="zh-CN"/>
        </w:rPr>
        <w:t>2</w:t>
      </w:r>
      <w:r>
        <w:rPr>
          <w:rFonts w:ascii="Times New Roman" w:hAnsi="Times New Roman" w:eastAsia="仿宋_GB2312"/>
          <w:b/>
          <w:bCs/>
          <w:color w:val="000000"/>
          <w:kern w:val="0"/>
          <w:sz w:val="32"/>
          <w:szCs w:val="32"/>
        </w:rPr>
        <w:t>、优质石化工程监理公司招标</w:t>
      </w:r>
      <w:r>
        <w:rPr>
          <w:rFonts w:hint="eastAsia" w:ascii="Times New Roman" w:hAnsi="Times New Roman" w:eastAsia="仿宋_GB2312"/>
          <w:color w:val="000000"/>
          <w:kern w:val="0"/>
          <w:sz w:val="32"/>
          <w:szCs w:val="32"/>
          <w:lang w:eastAsia="zh-CN"/>
        </w:rPr>
        <w:t>；</w:t>
      </w:r>
    </w:p>
    <w:p w14:paraId="37A8AFC5">
      <w:pPr>
        <w:widowControl/>
        <w:adjustRightInd w:val="0"/>
        <w:snapToGrid w:val="0"/>
        <w:spacing w:line="520" w:lineRule="exact"/>
        <w:ind w:firstLine="643" w:firstLineChars="200"/>
        <w:rPr>
          <w:rFonts w:ascii="Times New Roman" w:hAnsi="Times New Roman" w:eastAsia="仿宋_GB2312"/>
          <w:b/>
          <w:bCs/>
          <w:color w:val="000000"/>
          <w:kern w:val="0"/>
          <w:sz w:val="32"/>
          <w:szCs w:val="32"/>
        </w:rPr>
      </w:pPr>
      <w:r>
        <w:rPr>
          <w:rFonts w:hint="eastAsia" w:ascii="Times New Roman" w:hAnsi="Times New Roman" w:eastAsia="仿宋_GB2312"/>
          <w:b/>
          <w:bCs/>
          <w:color w:val="000000"/>
          <w:kern w:val="0"/>
          <w:sz w:val="32"/>
          <w:szCs w:val="32"/>
          <w:lang w:val="en-US" w:eastAsia="zh-CN"/>
        </w:rPr>
        <w:t>3</w:t>
      </w:r>
      <w:r>
        <w:rPr>
          <w:rFonts w:ascii="Times New Roman" w:hAnsi="Times New Roman" w:eastAsia="仿宋_GB2312"/>
          <w:b/>
          <w:bCs/>
          <w:color w:val="000000"/>
          <w:kern w:val="0"/>
          <w:sz w:val="32"/>
          <w:szCs w:val="32"/>
        </w:rPr>
        <w:t>、500万吨/年燃料油加氢项目配套污水处理系统BOT招标建设、运营和管理；</w:t>
      </w:r>
    </w:p>
    <w:p w14:paraId="340364E6">
      <w:pPr>
        <w:widowControl/>
        <w:adjustRightInd w:val="0"/>
        <w:snapToGrid w:val="0"/>
        <w:spacing w:line="520" w:lineRule="exact"/>
        <w:ind w:firstLine="643" w:firstLineChars="200"/>
        <w:rPr>
          <w:rFonts w:hint="eastAsia" w:ascii="Times New Roman" w:hAnsi="Times New Roman" w:eastAsia="仿宋_GB2312"/>
          <w:b/>
          <w:bCs/>
          <w:color w:val="000000"/>
          <w:kern w:val="0"/>
          <w:sz w:val="32"/>
          <w:szCs w:val="32"/>
          <w:lang w:eastAsia="zh-CN"/>
        </w:rPr>
      </w:pPr>
      <w:r>
        <w:rPr>
          <w:rFonts w:hint="eastAsia" w:ascii="Times New Roman" w:hAnsi="Times New Roman" w:eastAsia="仿宋_GB2312"/>
          <w:b/>
          <w:bCs/>
          <w:color w:val="000000"/>
          <w:kern w:val="0"/>
          <w:sz w:val="32"/>
          <w:szCs w:val="32"/>
          <w:lang w:val="en-US" w:eastAsia="zh-CN"/>
        </w:rPr>
        <w:t>4</w:t>
      </w:r>
      <w:r>
        <w:rPr>
          <w:rFonts w:ascii="Times New Roman" w:hAnsi="Times New Roman" w:eastAsia="仿宋_GB2312"/>
          <w:b/>
          <w:bCs/>
          <w:color w:val="000000"/>
          <w:kern w:val="0"/>
          <w:sz w:val="32"/>
          <w:szCs w:val="32"/>
        </w:rPr>
        <w:t>、500万吨/年燃料油加氢项目空分/油渣制氢BOO/BOT合作招标</w:t>
      </w:r>
      <w:r>
        <w:rPr>
          <w:rFonts w:hint="eastAsia" w:ascii="Times New Roman" w:hAnsi="Times New Roman" w:eastAsia="仿宋_GB2312"/>
          <w:b/>
          <w:bCs/>
          <w:color w:val="000000"/>
          <w:kern w:val="0"/>
          <w:sz w:val="32"/>
          <w:szCs w:val="32"/>
          <w:lang w:eastAsia="zh-CN"/>
        </w:rPr>
        <w:t>；</w:t>
      </w:r>
    </w:p>
    <w:p w14:paraId="6FB53222">
      <w:pPr>
        <w:widowControl/>
        <w:adjustRightInd w:val="0"/>
        <w:snapToGrid w:val="0"/>
        <w:spacing w:line="520" w:lineRule="exact"/>
        <w:ind w:firstLine="643" w:firstLineChars="200"/>
        <w:rPr>
          <w:rFonts w:hint="eastAsia" w:ascii="Times New Roman" w:hAnsi="Times New Roman" w:eastAsia="仿宋_GB2312"/>
          <w:b/>
          <w:bCs/>
          <w:color w:val="000000"/>
          <w:kern w:val="0"/>
          <w:sz w:val="32"/>
          <w:szCs w:val="32"/>
          <w:lang w:eastAsia="zh-CN"/>
        </w:rPr>
      </w:pPr>
      <w:r>
        <w:rPr>
          <w:rFonts w:hint="eastAsia" w:ascii="Times New Roman" w:hAnsi="Times New Roman" w:eastAsia="仿宋_GB2312"/>
          <w:b/>
          <w:bCs/>
          <w:color w:val="000000"/>
          <w:kern w:val="0"/>
          <w:sz w:val="32"/>
          <w:szCs w:val="32"/>
          <w:lang w:val="en-US" w:eastAsia="zh-CN"/>
        </w:rPr>
        <w:t>5</w:t>
      </w:r>
      <w:r>
        <w:rPr>
          <w:rFonts w:ascii="Times New Roman" w:hAnsi="Times New Roman" w:eastAsia="仿宋_GB2312"/>
          <w:b/>
          <w:bCs/>
          <w:color w:val="000000"/>
          <w:kern w:val="0"/>
          <w:sz w:val="32"/>
          <w:szCs w:val="32"/>
        </w:rPr>
        <w:t>、500万吨/年燃料油加氢项目配套绿电直连项目合作招标</w:t>
      </w:r>
      <w:r>
        <w:rPr>
          <w:rFonts w:hint="eastAsia" w:ascii="Times New Roman" w:hAnsi="Times New Roman" w:eastAsia="仿宋_GB2312"/>
          <w:b/>
          <w:bCs/>
          <w:color w:val="000000"/>
          <w:kern w:val="0"/>
          <w:sz w:val="32"/>
          <w:szCs w:val="32"/>
          <w:lang w:eastAsia="zh-CN"/>
        </w:rPr>
        <w:t>；</w:t>
      </w:r>
    </w:p>
    <w:p w14:paraId="0A7C5698">
      <w:pPr>
        <w:widowControl/>
        <w:adjustRightInd w:val="0"/>
        <w:snapToGrid w:val="0"/>
        <w:spacing w:line="520" w:lineRule="exact"/>
        <w:ind w:firstLine="643" w:firstLineChars="200"/>
        <w:rPr>
          <w:rFonts w:hint="eastAsia" w:ascii="Times New Roman" w:hAnsi="Times New Roman" w:eastAsia="仿宋_GB2312"/>
          <w:b/>
          <w:bCs/>
          <w:color w:val="000000"/>
          <w:kern w:val="0"/>
          <w:sz w:val="32"/>
          <w:szCs w:val="32"/>
          <w:lang w:eastAsia="zh-CN"/>
        </w:rPr>
      </w:pPr>
      <w:r>
        <w:rPr>
          <w:rFonts w:hint="eastAsia" w:ascii="Times New Roman" w:hAnsi="Times New Roman" w:eastAsia="仿宋_GB2312"/>
          <w:b/>
          <w:bCs/>
          <w:color w:val="000000"/>
          <w:kern w:val="0"/>
          <w:sz w:val="32"/>
          <w:szCs w:val="32"/>
          <w:lang w:val="en-US" w:eastAsia="zh-CN"/>
        </w:rPr>
        <w:t>6</w:t>
      </w:r>
      <w:r>
        <w:rPr>
          <w:rFonts w:ascii="Times New Roman" w:hAnsi="Times New Roman" w:eastAsia="仿宋_GB2312"/>
          <w:b/>
          <w:bCs/>
          <w:color w:val="000000"/>
          <w:kern w:val="0"/>
          <w:sz w:val="32"/>
          <w:szCs w:val="32"/>
        </w:rPr>
        <w:t>、500万吨/年燃料油加氢项目120万吨/年碳捕集及CCUS合作项目招标</w:t>
      </w:r>
      <w:r>
        <w:rPr>
          <w:rFonts w:hint="eastAsia" w:ascii="Times New Roman" w:hAnsi="Times New Roman" w:eastAsia="仿宋_GB2312"/>
          <w:b/>
          <w:bCs/>
          <w:color w:val="000000"/>
          <w:kern w:val="0"/>
          <w:sz w:val="32"/>
          <w:szCs w:val="32"/>
          <w:lang w:eastAsia="zh-CN"/>
        </w:rPr>
        <w:t>；</w:t>
      </w:r>
    </w:p>
    <w:p w14:paraId="3CBB0E1D">
      <w:pPr>
        <w:widowControl/>
        <w:adjustRightInd w:val="0"/>
        <w:snapToGrid w:val="0"/>
        <w:spacing w:line="520" w:lineRule="exact"/>
        <w:ind w:firstLine="643" w:firstLineChars="200"/>
        <w:rPr>
          <w:rFonts w:hint="eastAsia" w:ascii="Times New Roman" w:hAnsi="Times New Roman" w:eastAsia="仿宋_GB2312"/>
          <w:b/>
          <w:bCs/>
          <w:color w:val="000000"/>
          <w:kern w:val="0"/>
          <w:sz w:val="32"/>
          <w:szCs w:val="32"/>
          <w:lang w:eastAsia="zh-CN"/>
        </w:rPr>
      </w:pPr>
      <w:r>
        <w:rPr>
          <w:rFonts w:hint="eastAsia" w:ascii="Times New Roman" w:hAnsi="Times New Roman" w:eastAsia="仿宋_GB2312"/>
          <w:b/>
          <w:bCs/>
          <w:color w:val="000000"/>
          <w:kern w:val="0"/>
          <w:sz w:val="32"/>
          <w:szCs w:val="32"/>
          <w:lang w:val="en-US" w:eastAsia="zh-CN"/>
        </w:rPr>
        <w:t>7</w:t>
      </w:r>
      <w:r>
        <w:rPr>
          <w:rFonts w:ascii="Times New Roman" w:hAnsi="Times New Roman" w:eastAsia="仿宋_GB2312"/>
          <w:b/>
          <w:bCs/>
          <w:color w:val="000000"/>
          <w:kern w:val="0"/>
          <w:sz w:val="32"/>
          <w:szCs w:val="32"/>
        </w:rPr>
        <w:t>、40万吨/年苯酚丙酮延链补链项目</w:t>
      </w:r>
      <w:r>
        <w:rPr>
          <w:rFonts w:hint="eastAsia" w:ascii="Times New Roman" w:hAnsi="Times New Roman" w:eastAsia="仿宋_GB2312"/>
          <w:b/>
          <w:bCs/>
          <w:color w:val="000000"/>
          <w:kern w:val="0"/>
          <w:sz w:val="32"/>
          <w:szCs w:val="32"/>
          <w:lang w:eastAsia="zh-CN"/>
        </w:rPr>
        <w:t>；</w:t>
      </w:r>
    </w:p>
    <w:p w14:paraId="00C6E901">
      <w:pPr>
        <w:widowControl/>
        <w:adjustRightInd w:val="0"/>
        <w:snapToGrid w:val="0"/>
        <w:spacing w:line="520" w:lineRule="exact"/>
        <w:ind w:firstLine="643" w:firstLineChars="200"/>
        <w:rPr>
          <w:rFonts w:hint="eastAsia" w:ascii="Times New Roman" w:hAnsi="Times New Roman" w:eastAsia="仿宋_GB2312"/>
          <w:b/>
          <w:bCs/>
          <w:color w:val="000000"/>
          <w:kern w:val="0"/>
          <w:sz w:val="32"/>
          <w:szCs w:val="32"/>
          <w:lang w:eastAsia="zh-CN"/>
        </w:rPr>
      </w:pPr>
      <w:r>
        <w:rPr>
          <w:rFonts w:hint="eastAsia" w:ascii="Times New Roman" w:hAnsi="Times New Roman" w:eastAsia="仿宋_GB2312"/>
          <w:b/>
          <w:bCs/>
          <w:color w:val="000000"/>
          <w:kern w:val="0"/>
          <w:sz w:val="32"/>
          <w:szCs w:val="32"/>
          <w:lang w:val="en-US" w:eastAsia="zh-CN"/>
        </w:rPr>
        <w:t>8</w:t>
      </w:r>
      <w:r>
        <w:rPr>
          <w:rFonts w:ascii="Times New Roman" w:hAnsi="Times New Roman" w:eastAsia="仿宋_GB2312"/>
          <w:b/>
          <w:bCs/>
          <w:color w:val="000000"/>
          <w:kern w:val="0"/>
          <w:sz w:val="32"/>
          <w:szCs w:val="32"/>
        </w:rPr>
        <w:t>、50万吨/年二氧化碳制造绿色甲醇项目</w:t>
      </w:r>
      <w:r>
        <w:rPr>
          <w:rFonts w:hint="eastAsia" w:ascii="Times New Roman" w:hAnsi="Times New Roman" w:eastAsia="仿宋_GB2312"/>
          <w:b/>
          <w:bCs/>
          <w:color w:val="000000"/>
          <w:kern w:val="0"/>
          <w:sz w:val="32"/>
          <w:szCs w:val="32"/>
          <w:lang w:eastAsia="zh-CN"/>
        </w:rPr>
        <w:t>；</w:t>
      </w:r>
    </w:p>
    <w:p w14:paraId="408AE268">
      <w:pPr>
        <w:widowControl/>
        <w:adjustRightInd w:val="0"/>
        <w:snapToGrid w:val="0"/>
        <w:spacing w:line="520" w:lineRule="exact"/>
        <w:ind w:firstLine="643" w:firstLineChars="200"/>
        <w:rPr>
          <w:rFonts w:hint="eastAsia" w:ascii="Times New Roman" w:hAnsi="Times New Roman" w:eastAsia="仿宋_GB2312"/>
          <w:b/>
          <w:bCs/>
          <w:color w:val="000000"/>
          <w:kern w:val="0"/>
          <w:sz w:val="32"/>
          <w:szCs w:val="32"/>
          <w:lang w:eastAsia="zh-CN"/>
        </w:rPr>
      </w:pPr>
      <w:r>
        <w:rPr>
          <w:rFonts w:hint="eastAsia" w:ascii="Times New Roman" w:hAnsi="Times New Roman" w:eastAsia="仿宋_GB2312"/>
          <w:b/>
          <w:bCs/>
          <w:color w:val="000000"/>
          <w:kern w:val="0"/>
          <w:sz w:val="32"/>
          <w:szCs w:val="32"/>
          <w:lang w:val="en-US" w:eastAsia="zh-CN"/>
        </w:rPr>
        <w:t>9</w:t>
      </w:r>
      <w:r>
        <w:rPr>
          <w:rFonts w:ascii="Times New Roman" w:hAnsi="Times New Roman" w:eastAsia="仿宋_GB2312"/>
          <w:b/>
          <w:bCs/>
          <w:color w:val="000000"/>
          <w:kern w:val="0"/>
          <w:sz w:val="32"/>
          <w:szCs w:val="32"/>
        </w:rPr>
        <w:t>、50万吨二氧化碳制造可持续航空燃料项目</w:t>
      </w:r>
      <w:r>
        <w:rPr>
          <w:rFonts w:hint="eastAsia" w:ascii="Times New Roman" w:hAnsi="Times New Roman" w:eastAsia="仿宋_GB2312"/>
          <w:b/>
          <w:bCs/>
          <w:color w:val="000000"/>
          <w:kern w:val="0"/>
          <w:sz w:val="32"/>
          <w:szCs w:val="32"/>
          <w:lang w:eastAsia="zh-CN"/>
        </w:rPr>
        <w:t>；</w:t>
      </w:r>
    </w:p>
    <w:p w14:paraId="2DDDFE40">
      <w:pPr>
        <w:widowControl/>
        <w:adjustRightInd w:val="0"/>
        <w:snapToGrid w:val="0"/>
        <w:spacing w:line="520" w:lineRule="exact"/>
        <w:ind w:firstLine="643" w:firstLineChars="200"/>
        <w:rPr>
          <w:rFonts w:hint="eastAsia" w:ascii="Times New Roman" w:hAnsi="Times New Roman" w:eastAsia="仿宋_GB2312"/>
          <w:b/>
          <w:bCs/>
          <w:color w:val="000000"/>
          <w:kern w:val="0"/>
          <w:sz w:val="32"/>
          <w:szCs w:val="32"/>
          <w:lang w:eastAsia="zh-CN"/>
        </w:rPr>
      </w:pPr>
      <w:r>
        <w:rPr>
          <w:rFonts w:ascii="Times New Roman" w:hAnsi="Times New Roman" w:eastAsia="仿宋_GB2312"/>
          <w:b/>
          <w:bCs/>
          <w:color w:val="000000"/>
          <w:kern w:val="0"/>
          <w:sz w:val="32"/>
          <w:szCs w:val="32"/>
        </w:rPr>
        <w:t>1</w:t>
      </w:r>
      <w:r>
        <w:rPr>
          <w:rFonts w:hint="eastAsia" w:ascii="Times New Roman" w:hAnsi="Times New Roman" w:eastAsia="仿宋_GB2312"/>
          <w:b/>
          <w:bCs/>
          <w:color w:val="000000"/>
          <w:kern w:val="0"/>
          <w:sz w:val="32"/>
          <w:szCs w:val="32"/>
          <w:lang w:val="en-US" w:eastAsia="zh-CN"/>
        </w:rPr>
        <w:t>0</w:t>
      </w:r>
      <w:r>
        <w:rPr>
          <w:rFonts w:ascii="Times New Roman" w:hAnsi="Times New Roman" w:eastAsia="仿宋_GB2312"/>
          <w:b/>
          <w:bCs/>
          <w:color w:val="000000"/>
          <w:kern w:val="0"/>
          <w:sz w:val="32"/>
          <w:szCs w:val="32"/>
        </w:rPr>
        <w:t>、500万吨/年燃料油加氢项目智能化、数字化信息系统指标</w:t>
      </w:r>
      <w:r>
        <w:rPr>
          <w:rFonts w:hint="eastAsia" w:ascii="Times New Roman" w:hAnsi="Times New Roman" w:eastAsia="仿宋_GB2312"/>
          <w:b/>
          <w:bCs/>
          <w:color w:val="000000"/>
          <w:kern w:val="0"/>
          <w:sz w:val="32"/>
          <w:szCs w:val="32"/>
          <w:lang w:eastAsia="zh-CN"/>
        </w:rPr>
        <w:t>。</w:t>
      </w:r>
    </w:p>
    <w:p w14:paraId="5C0A1BFD">
      <w:pPr>
        <w:pStyle w:val="2"/>
        <w:rPr>
          <w:rFonts w:hint="default"/>
          <w:lang w:val="en-US" w:eastAsia="zh-CN"/>
        </w:rPr>
      </w:pPr>
      <w:r>
        <w:rPr>
          <w:rFonts w:hint="eastAsia" w:ascii="Times New Roman" w:hAnsi="Times New Roman" w:eastAsia="仿宋_GB2312"/>
          <w:b/>
          <w:bCs/>
          <w:color w:val="000000"/>
          <w:kern w:val="0"/>
          <w:sz w:val="32"/>
          <w:szCs w:val="32"/>
          <w:lang w:val="en-US" w:eastAsia="zh-CN"/>
        </w:rPr>
        <w:t>注：具体事宜可现场交流。</w:t>
      </w:r>
    </w:p>
    <w:p w14:paraId="0816DD94">
      <w:pPr>
        <w:spacing w:line="520" w:lineRule="exact"/>
        <w:ind w:firstLine="643" w:firstLineChars="200"/>
        <w:rPr>
          <w:rFonts w:ascii="楷体_GB2312" w:hAnsi="Times New Roman" w:eastAsia="楷体_GB2312"/>
          <w:b/>
          <w:bCs/>
          <w:color w:val="000000"/>
          <w:sz w:val="32"/>
          <w:szCs w:val="32"/>
        </w:rPr>
      </w:pPr>
      <w:r>
        <w:rPr>
          <w:rFonts w:ascii="楷体_GB2312" w:hAnsi="Times New Roman" w:eastAsia="楷体_GB2312"/>
          <w:b/>
          <w:bCs/>
          <w:color w:val="000000"/>
          <w:sz w:val="32"/>
          <w:szCs w:val="32"/>
        </w:rPr>
        <w:t>（</w:t>
      </w:r>
      <w:r>
        <w:rPr>
          <w:rFonts w:hint="eastAsia" w:ascii="楷体_GB2312" w:hAnsi="Times New Roman" w:eastAsia="楷体_GB2312"/>
          <w:b/>
          <w:bCs/>
          <w:color w:val="000000"/>
          <w:sz w:val="32"/>
          <w:szCs w:val="32"/>
          <w:lang w:val="en-US" w:eastAsia="zh-CN"/>
        </w:rPr>
        <w:t>三</w:t>
      </w:r>
      <w:r>
        <w:rPr>
          <w:rFonts w:ascii="楷体_GB2312" w:hAnsi="Times New Roman" w:eastAsia="楷体_GB2312"/>
          <w:b/>
          <w:bCs/>
          <w:color w:val="000000"/>
          <w:sz w:val="32"/>
          <w:szCs w:val="32"/>
        </w:rPr>
        <w:t>）市场开拓</w:t>
      </w:r>
    </w:p>
    <w:p w14:paraId="4BC15B9C">
      <w:pPr>
        <w:widowControl/>
        <w:adjustRightInd w:val="0"/>
        <w:snapToGrid w:val="0"/>
        <w:spacing w:line="520" w:lineRule="exact"/>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 xml:space="preserve">   主要产品为纯苯、甲苯、混合二甲苯、顺酐、发泡剂、异戊烷、异丁烷等，有意向客户可提前对接沟通。</w:t>
      </w:r>
    </w:p>
    <w:p w14:paraId="677CA066">
      <w:pPr>
        <w:widowControl/>
        <w:adjustRightInd w:val="0"/>
        <w:snapToGrid w:val="0"/>
        <w:spacing w:line="520" w:lineRule="exact"/>
        <w:ind w:firstLine="640" w:firstLineChars="200"/>
        <w:rPr>
          <w:rFonts w:ascii="黑体" w:hAnsi="黑体" w:eastAsia="黑体"/>
          <w:color w:val="000000"/>
          <w:kern w:val="0"/>
          <w:sz w:val="32"/>
          <w:szCs w:val="32"/>
        </w:rPr>
      </w:pPr>
    </w:p>
    <w:p w14:paraId="0C70B4E9">
      <w:pPr>
        <w:widowControl/>
        <w:adjustRightInd w:val="0"/>
        <w:snapToGrid w:val="0"/>
        <w:spacing w:line="520" w:lineRule="exact"/>
        <w:ind w:firstLine="640" w:firstLineChars="200"/>
        <w:rPr>
          <w:rFonts w:ascii="Times New Roman" w:hAnsi="Times New Roman" w:eastAsia="仿宋_GB2312"/>
          <w:b/>
          <w:bCs/>
          <w:color w:val="000000"/>
          <w:kern w:val="0"/>
          <w:sz w:val="32"/>
          <w:szCs w:val="32"/>
        </w:rPr>
      </w:pPr>
      <w:r>
        <w:rPr>
          <w:rFonts w:ascii="黑体" w:hAnsi="黑体" w:eastAsia="黑体"/>
          <w:color w:val="000000"/>
          <w:kern w:val="0"/>
          <w:sz w:val="32"/>
          <w:szCs w:val="32"/>
        </w:rPr>
        <w:t xml:space="preserve">四、山东万达化工有限公司  </w:t>
      </w:r>
      <w:r>
        <w:rPr>
          <w:rFonts w:ascii="Times New Roman" w:hAnsi="Times New Roman" w:eastAsia="仿宋_GB2312"/>
          <w:color w:val="000000"/>
          <w:kern w:val="0"/>
          <w:sz w:val="32"/>
          <w:szCs w:val="32"/>
        </w:rPr>
        <w:t>作为国家重点高新技术企业和国内领先的精细化工、高分子材料研发生产企业，在MBS塑料抗冲剂、ABS高胶粉、聚丙烯酰胺、破乳剂及二氨基二苯醚等产品领域具有深厚的技术积淀。公司建设中试基地，立足精细化工与高分子改性新材料领域，打造小试成果放大验证、工艺迭代、新产品试制的专业化中试平台，持续拓展化工新材料领域产学研合作新模式，可以对接国内知名高校及科研院所，共同开展科研攻关与科技成果转化工作。同时，期待与下游制造企业、科研院所及高校共同承担重点科研项目，打通“材料研发—助剂生产—应用”的创新链条，破解技术研发与产业化脱节难题。</w:t>
      </w:r>
    </w:p>
    <w:p w14:paraId="667D93FD">
      <w:pPr>
        <w:widowControl/>
        <w:spacing w:line="520" w:lineRule="exact"/>
        <w:ind w:firstLine="640" w:firstLineChars="200"/>
        <w:rPr>
          <w:rFonts w:hint="eastAsia" w:ascii="Times New Roman" w:hAnsi="Times New Roman" w:eastAsia="黑体" w:cs="Times New Roman"/>
          <w:color w:val="000000"/>
          <w:kern w:val="0"/>
          <w:sz w:val="32"/>
          <w:szCs w:val="32"/>
          <w:lang w:val="en-US" w:eastAsia="zh-CN"/>
        </w:rPr>
      </w:pPr>
      <w:r>
        <w:rPr>
          <w:rFonts w:hint="eastAsia" w:ascii="Times New Roman" w:hAnsi="Times New Roman" w:eastAsia="黑体" w:cs="Times New Roman"/>
          <w:color w:val="000000"/>
          <w:kern w:val="0"/>
          <w:sz w:val="32"/>
          <w:szCs w:val="32"/>
          <w:lang w:val="en-US" w:eastAsia="zh-CN"/>
        </w:rPr>
        <w:t>合作需求</w:t>
      </w:r>
    </w:p>
    <w:p w14:paraId="4155FFCD">
      <w:pPr>
        <w:widowControl/>
        <w:adjustRightInd w:val="0"/>
        <w:snapToGrid w:val="0"/>
        <w:spacing w:line="520" w:lineRule="exact"/>
        <w:ind w:firstLine="643" w:firstLineChars="200"/>
        <w:rPr>
          <w:rFonts w:ascii="Times New Roman" w:hAnsi="Times New Roman" w:eastAsia="仿宋_GB2312"/>
          <w:b/>
          <w:bCs/>
          <w:color w:val="000000"/>
          <w:kern w:val="0"/>
          <w:sz w:val="32"/>
          <w:szCs w:val="32"/>
        </w:rPr>
      </w:pPr>
      <w:r>
        <w:rPr>
          <w:rFonts w:ascii="Times New Roman" w:hAnsi="Times New Roman" w:eastAsia="仿宋_GB2312"/>
          <w:b/>
          <w:bCs/>
          <w:color w:val="000000"/>
          <w:kern w:val="0"/>
          <w:sz w:val="32"/>
          <w:szCs w:val="32"/>
        </w:rPr>
        <w:t>（1）有机硅系列工程塑料增韧剂研究</w:t>
      </w:r>
    </w:p>
    <w:p w14:paraId="0C6D7D31">
      <w:pPr>
        <w:widowControl/>
        <w:adjustRightInd w:val="0"/>
        <w:snapToGrid w:val="0"/>
        <w:spacing w:line="520" w:lineRule="exact"/>
        <w:ind w:firstLine="640" w:firstLineChars="20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企业现有3万吨/年MBS及5000吨/年ABS产线，硬件可支撑有机硅PCMBS、有机硅ASA高胶粉、有机硅ABS高胶粉工业化生产，但缺乏成套工艺技术。主要难点：ASA高胶粉需突破有机硅开环乳液制备及开环有机硅作种子直接合成技术；PCMBS、ABS高胶粉需在丁苯胶乳中可控引入羧基或羟基并完成有机硅接枝改性。亟需开发有机硅开环乳液制备技术，解决官能团可控引入问题，形成适配工况的完整配方体系，实现系列增韧剂稳定制备。</w:t>
      </w:r>
    </w:p>
    <w:p w14:paraId="114C8DA8">
      <w:pPr>
        <w:widowControl/>
        <w:adjustRightInd w:val="0"/>
        <w:snapToGrid w:val="0"/>
        <w:spacing w:line="520" w:lineRule="exact"/>
        <w:ind w:firstLine="643" w:firstLineChars="200"/>
        <w:rPr>
          <w:rFonts w:ascii="Times New Roman" w:hAnsi="Times New Roman" w:eastAsia="仿宋_GB2312"/>
          <w:b/>
          <w:bCs/>
          <w:color w:val="000000"/>
          <w:kern w:val="0"/>
          <w:sz w:val="32"/>
          <w:szCs w:val="32"/>
        </w:rPr>
      </w:pPr>
      <w:r>
        <w:rPr>
          <w:rFonts w:ascii="Times New Roman" w:hAnsi="Times New Roman" w:eastAsia="仿宋_GB2312"/>
          <w:b/>
          <w:bCs/>
          <w:color w:val="000000"/>
          <w:kern w:val="0"/>
          <w:sz w:val="32"/>
          <w:szCs w:val="32"/>
        </w:rPr>
        <w:t>（2）4,4’-二氨基二苯醚产品工艺优化</w:t>
      </w:r>
    </w:p>
    <w:p w14:paraId="552C723B">
      <w:pPr>
        <w:widowControl/>
        <w:adjustRightInd w:val="0"/>
        <w:snapToGrid w:val="0"/>
        <w:spacing w:line="520" w:lineRule="exact"/>
        <w:ind w:firstLine="640" w:firstLineChars="20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企业现有2000吨/年二氨产线，采用二硝制备、加氢还原、结晶、离心干燥升华、重结晶五道工序，存在流程长、副产物多、杂质高、污染能耗大等问题。二硝缩合周期长、焦油多；加氢中焦油包裹催化剂致失活，高温还生成焦油；结晶颗粒细、杂质残留；后续单元排放与能耗偏高。对标日本和歌山三道短流程先进工艺，亟需外部专家指导全流程优化，削减工序、抑制焦油、解决催化剂失活与结晶形态差等问题，兼顾块状与出口晶体产品要求，实现绿色高效制造。</w:t>
      </w:r>
    </w:p>
    <w:p w14:paraId="494B8BF4">
      <w:pPr>
        <w:widowControl/>
        <w:adjustRightInd w:val="0"/>
        <w:snapToGrid w:val="0"/>
        <w:spacing w:line="520" w:lineRule="exact"/>
        <w:ind w:firstLine="643" w:firstLineChars="200"/>
        <w:rPr>
          <w:rFonts w:ascii="Times New Roman" w:hAnsi="Times New Roman" w:eastAsia="仿宋_GB2312"/>
          <w:b/>
          <w:bCs/>
          <w:color w:val="000000"/>
          <w:kern w:val="0"/>
          <w:sz w:val="32"/>
          <w:szCs w:val="32"/>
        </w:rPr>
      </w:pPr>
      <w:r>
        <w:rPr>
          <w:rFonts w:ascii="Times New Roman" w:hAnsi="Times New Roman" w:eastAsia="仿宋_GB2312"/>
          <w:b/>
          <w:bCs/>
          <w:color w:val="000000"/>
          <w:kern w:val="0"/>
          <w:sz w:val="32"/>
          <w:szCs w:val="32"/>
        </w:rPr>
        <w:t>（3）高性能油田助剂研发</w:t>
      </w:r>
    </w:p>
    <w:p w14:paraId="5A274488">
      <w:pPr>
        <w:widowControl/>
        <w:adjustRightInd w:val="0"/>
        <w:snapToGrid w:val="0"/>
        <w:spacing w:line="520" w:lineRule="exact"/>
        <w:ind w:firstLine="640" w:firstLineChars="20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企业拥有2万吨/年聚丙烯酰胺干粉及3万吨/年乳液状油田助剂产线，产品已用于国内多个油田，但面向深层、高温高盐、稠油老化油等复杂油藏，现有产品抗温、抗盐、抗剪切、耐老化综合性能不足，新型驱油助剂、钻井液功能助剂及环保型药剂开发、复配与现场适配存在瓶颈。亟需外部专家指导，重点攻克超高温高盐油藏改性聚丙烯酰胺合成、低渗透油藏驱油功能材料开发、环保可降解助剂配方构建等关键问题，优化聚合复配工艺，完善评价与矿场验证，开发适配复杂油藏的高性能系列产品。</w:t>
      </w:r>
    </w:p>
    <w:p w14:paraId="4114ADC0">
      <w:pPr>
        <w:widowControl/>
        <w:spacing w:line="520" w:lineRule="exact"/>
        <w:rPr>
          <w:rFonts w:ascii="Times New Roman" w:hAnsi="Times New Roman" w:eastAsia="楷体_GB2312"/>
          <w:b/>
          <w:bCs/>
          <w:color w:val="000000"/>
          <w:kern w:val="0"/>
          <w:sz w:val="32"/>
          <w:szCs w:val="32"/>
        </w:rPr>
      </w:pPr>
      <w:r>
        <w:rPr>
          <w:rFonts w:ascii="Times New Roman" w:hAnsi="Times New Roman" w:eastAsia="楷体_GB2312"/>
          <w:b/>
          <w:bCs/>
          <w:color w:val="000000"/>
          <w:kern w:val="0"/>
          <w:sz w:val="32"/>
          <w:szCs w:val="32"/>
        </w:rPr>
        <w:t xml:space="preserve">     </w:t>
      </w:r>
      <w:r>
        <w:rPr>
          <w:rFonts w:ascii="黑体" w:hAnsi="黑体" w:eastAsia="黑体"/>
          <w:color w:val="000000"/>
          <w:kern w:val="0"/>
          <w:sz w:val="32"/>
          <w:szCs w:val="32"/>
        </w:rPr>
        <w:t>五、石化产品营销需求</w:t>
      </w:r>
    </w:p>
    <w:p w14:paraId="6250963C">
      <w:pPr>
        <w:widowControl/>
        <w:spacing w:line="520" w:lineRule="exact"/>
        <w:ind w:firstLine="643" w:firstLineChars="200"/>
        <w:rPr>
          <w:rFonts w:ascii="Times New Roman" w:hAnsi="Times New Roman" w:eastAsia="仿宋_GB2312"/>
          <w:b/>
          <w:bCs/>
          <w:color w:val="000000"/>
          <w:kern w:val="0"/>
          <w:sz w:val="32"/>
          <w:szCs w:val="32"/>
        </w:rPr>
      </w:pPr>
      <w:r>
        <w:rPr>
          <w:rFonts w:ascii="Times New Roman" w:hAnsi="Times New Roman" w:eastAsia="仿宋_GB2312"/>
          <w:b/>
          <w:bCs/>
          <w:color w:val="000000"/>
          <w:kern w:val="0"/>
          <w:sz w:val="32"/>
          <w:szCs w:val="32"/>
        </w:rPr>
        <w:t>（一）成品油市场合作</w:t>
      </w:r>
    </w:p>
    <w:p w14:paraId="092AFA8D">
      <w:pPr>
        <w:widowControl/>
        <w:spacing w:line="520" w:lineRule="exact"/>
        <w:ind w:firstLine="640" w:firstLineChars="20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1. 批发与终端合作：依托500万吨/年炼化装置及国Ⅵ标准汽柴油产能优势，寻求与全国各地成品油批发企业、加油站连锁品牌、大型工矿企业、物流运输公司等建立长期稳定的成品油供应合作关系。公司拥有成品油批发经营资质及440万吨/年进口原油配额，可保障稳定供应。</w:t>
      </w:r>
    </w:p>
    <w:p w14:paraId="344678AD">
      <w:pPr>
        <w:widowControl/>
        <w:spacing w:line="520" w:lineRule="exact"/>
        <w:ind w:firstLine="640" w:firstLineChars="20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2. 大宗客户直供：面向大型厂矿、基建工程、加油站连锁企业等行业终端用户，建立直供合作关系，提供定制化供油方案与专业服务。</w:t>
      </w:r>
    </w:p>
    <w:p w14:paraId="4082713F">
      <w:pPr>
        <w:widowControl/>
        <w:spacing w:line="520" w:lineRule="exact"/>
        <w:ind w:firstLine="643" w:firstLineChars="200"/>
        <w:rPr>
          <w:rFonts w:ascii="Times New Roman" w:hAnsi="Times New Roman" w:eastAsia="仿宋_GB2312"/>
          <w:b/>
          <w:bCs/>
          <w:color w:val="000000"/>
          <w:kern w:val="0"/>
          <w:sz w:val="32"/>
          <w:szCs w:val="32"/>
        </w:rPr>
      </w:pPr>
      <w:r>
        <w:rPr>
          <w:rFonts w:ascii="Times New Roman" w:hAnsi="Times New Roman" w:eastAsia="仿宋_GB2312"/>
          <w:b/>
          <w:bCs/>
          <w:color w:val="000000"/>
          <w:kern w:val="0"/>
          <w:sz w:val="32"/>
          <w:szCs w:val="32"/>
        </w:rPr>
        <w:t>（二）化工品市场合作</w:t>
      </w:r>
    </w:p>
    <w:p w14:paraId="79C7B8F8">
      <w:pPr>
        <w:widowControl/>
        <w:spacing w:line="520" w:lineRule="exact"/>
        <w:ind w:firstLine="640" w:firstLineChars="20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1. 国内化工品销售：依托液化石油气、丙烯、硫酸、MTBE、石脑油、石油焦、油浆、</w:t>
      </w:r>
      <w:r>
        <w:rPr>
          <w:rFonts w:ascii="Times New Roman" w:hAnsi="Times New Roman" w:eastAsia="仿宋_GB2312"/>
          <w:color w:val="000000"/>
          <w:kern w:val="0"/>
          <w:sz w:val="32"/>
          <w:szCs w:val="32"/>
        </w:rPr>
        <w:tab/>
      </w:r>
      <w:r>
        <w:rPr>
          <w:rFonts w:ascii="Times New Roman" w:hAnsi="Times New Roman" w:eastAsia="仿宋_GB2312"/>
          <w:color w:val="000000"/>
          <w:kern w:val="0"/>
          <w:sz w:val="32"/>
          <w:szCs w:val="32"/>
        </w:rPr>
        <w:t>MMA、硫酸铵、肌氨酸钠等多元化化工产品，寻求与全国各地化工贸易商、精细化工企业、新材料生产企业等建立长期供应合作关系。</w:t>
      </w:r>
    </w:p>
    <w:p w14:paraId="107F188F">
      <w:pPr>
        <w:widowControl/>
        <w:spacing w:line="520" w:lineRule="exact"/>
        <w:ind w:firstLine="640" w:firstLineChars="20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2. 国际化工品出口：重点关注东南亚、日韩、欧美等化工品需求旺盛的市场，公司拥有自营和代理商品和技术的进出口业务资质，寻求与海外化工品进口商、贸易商建立合作关系，拓展出口渠道，扩大国际市场份额。</w:t>
      </w:r>
    </w:p>
    <w:p w14:paraId="5858BBC3">
      <w:pPr>
        <w:widowControl/>
        <w:spacing w:line="520" w:lineRule="exact"/>
        <w:ind w:firstLine="643" w:firstLineChars="200"/>
        <w:rPr>
          <w:rFonts w:ascii="Times New Roman" w:hAnsi="Times New Roman" w:eastAsia="仿宋_GB2312"/>
          <w:b/>
          <w:bCs/>
          <w:color w:val="000000"/>
          <w:kern w:val="0"/>
          <w:sz w:val="32"/>
          <w:szCs w:val="32"/>
        </w:rPr>
      </w:pPr>
      <w:r>
        <w:rPr>
          <w:rFonts w:ascii="Times New Roman" w:hAnsi="Times New Roman" w:eastAsia="仿宋_GB2312"/>
          <w:b/>
          <w:bCs/>
          <w:color w:val="000000"/>
          <w:kern w:val="0"/>
          <w:sz w:val="32"/>
          <w:szCs w:val="32"/>
        </w:rPr>
        <w:t>（三）展会与品牌推广合作</w:t>
      </w:r>
    </w:p>
    <w:p w14:paraId="1A5C1163">
      <w:pPr>
        <w:widowControl/>
        <w:spacing w:line="520" w:lineRule="exact"/>
        <w:ind w:firstLine="640" w:firstLineChars="20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积极参与政府、商会组织的行业推广活动及国内外石油化工专业展会，提升天弘化学、宏旭化学品牌在成品油及化工品领域的行业影响力。</w:t>
      </w:r>
    </w:p>
    <w:p w14:paraId="4EE9CB85">
      <w:pPr>
        <w:widowControl/>
        <w:spacing w:line="520" w:lineRule="exact"/>
        <w:ind w:firstLine="643" w:firstLineChars="200"/>
        <w:rPr>
          <w:rFonts w:ascii="Times New Roman" w:hAnsi="Times New Roman" w:eastAsia="仿宋_GB2312"/>
          <w:b/>
          <w:bCs/>
          <w:color w:val="000000"/>
          <w:kern w:val="0"/>
          <w:sz w:val="32"/>
          <w:szCs w:val="32"/>
        </w:rPr>
      </w:pPr>
      <w:r>
        <w:rPr>
          <w:rFonts w:ascii="Times New Roman" w:hAnsi="Times New Roman" w:eastAsia="仿宋_GB2312"/>
          <w:b/>
          <w:bCs/>
          <w:color w:val="000000"/>
          <w:kern w:val="0"/>
          <w:sz w:val="32"/>
          <w:szCs w:val="32"/>
        </w:rPr>
        <w:t>（四）物流仓储合作</w:t>
      </w:r>
    </w:p>
    <w:p w14:paraId="0EC3EC1D">
      <w:pPr>
        <w:widowControl/>
        <w:spacing w:line="520" w:lineRule="exact"/>
        <w:ind w:firstLine="640" w:firstLineChars="20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依托东营港2个10万吨级和4个万吨级液体化工码头、100万立方物流园区和116万立方原油仓储库区，物料输送全部管线联接。寻求与仓储物流企业、船运公司等开展码头运营、仓储租赁、管道运输等方面的合作。</w:t>
      </w:r>
    </w:p>
    <w:p w14:paraId="53B3C693">
      <w:pPr>
        <w:widowControl/>
        <w:spacing w:line="520" w:lineRule="exact"/>
        <w:ind w:firstLine="640" w:firstLineChars="200"/>
        <w:rPr>
          <w:rFonts w:ascii="Times New Roman" w:hAnsi="Times New Roman" w:eastAsia="黑体"/>
          <w:color w:val="000000"/>
          <w:kern w:val="0"/>
          <w:sz w:val="32"/>
          <w:szCs w:val="32"/>
        </w:rPr>
      </w:pPr>
      <w:r>
        <w:rPr>
          <w:rFonts w:hint="eastAsia" w:ascii="Times New Roman" w:hAnsi="Times New Roman" w:eastAsia="黑体"/>
          <w:color w:val="000000"/>
          <w:kern w:val="0"/>
          <w:sz w:val="32"/>
          <w:szCs w:val="32"/>
          <w:lang w:val="en-US" w:eastAsia="zh-CN"/>
        </w:rPr>
        <w:t>六</w:t>
      </w:r>
      <w:r>
        <w:rPr>
          <w:rFonts w:ascii="Times New Roman" w:hAnsi="Times New Roman" w:eastAsia="黑体"/>
          <w:color w:val="000000"/>
          <w:kern w:val="0"/>
          <w:sz w:val="32"/>
          <w:szCs w:val="32"/>
        </w:rPr>
        <w:t>、人才需求</w:t>
      </w:r>
    </w:p>
    <w:p w14:paraId="18CAB9C8">
      <w:pPr>
        <w:widowControl/>
        <w:spacing w:line="520" w:lineRule="exact"/>
        <w:ind w:firstLine="640" w:firstLineChars="20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为支撑成品油及化工品营销业务持续发展，亟需具备石油化工行业从业经验的市场营销人才、国际贸易人才、化工品销售专业人才等。同时，期待与高校在市场营销、国际贸易、化工等专业领域开展校企合作，联合培养复合型营销人才。</w:t>
      </w:r>
    </w:p>
    <w:p w14:paraId="6CBF7D18">
      <w:pPr>
        <w:widowControl/>
        <w:spacing w:line="520" w:lineRule="exact"/>
        <w:ind w:firstLine="640" w:firstLineChars="200"/>
        <w:rPr>
          <w:rFonts w:ascii="Times New Roman" w:hAnsi="Times New Roman" w:eastAsia="黑体"/>
          <w:color w:val="000000"/>
          <w:kern w:val="0"/>
          <w:sz w:val="32"/>
          <w:szCs w:val="32"/>
        </w:rPr>
      </w:pPr>
      <w:r>
        <w:rPr>
          <w:rFonts w:hint="eastAsia" w:ascii="Times New Roman" w:hAnsi="Times New Roman" w:eastAsia="黑体"/>
          <w:color w:val="000000"/>
          <w:kern w:val="0"/>
          <w:sz w:val="32"/>
          <w:szCs w:val="32"/>
          <w:lang w:val="en-US" w:eastAsia="zh-CN"/>
        </w:rPr>
        <w:t>七</w:t>
      </w:r>
      <w:r>
        <w:rPr>
          <w:rFonts w:ascii="Times New Roman" w:hAnsi="Times New Roman" w:eastAsia="黑体"/>
          <w:color w:val="000000"/>
          <w:kern w:val="0"/>
          <w:sz w:val="32"/>
          <w:szCs w:val="32"/>
        </w:rPr>
        <w:t>、融资需求</w:t>
      </w:r>
    </w:p>
    <w:p w14:paraId="7A39D6F5">
      <w:pPr>
        <w:widowControl/>
        <w:spacing w:line="520" w:lineRule="exact"/>
        <w:ind w:firstLine="640" w:firstLineChars="200"/>
      </w:pPr>
      <w:r>
        <w:rPr>
          <w:rFonts w:ascii="Times New Roman" w:hAnsi="Times New Roman" w:eastAsia="仿宋_GB2312"/>
          <w:color w:val="000000"/>
          <w:kern w:val="0"/>
          <w:sz w:val="32"/>
          <w:szCs w:val="32"/>
        </w:rPr>
        <w:t>由于项目建设及设备采购和流动资金储备需要，需中长期贷款。（可现场交流）</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FEE7D9">
    <w:pPr>
      <w:spacing w:line="171" w:lineRule="auto"/>
      <w:ind w:left="6925"/>
      <w:rPr>
        <w:rFonts w:ascii="Times New Roman" w:hAnsi="Times New Roman" w:eastAsia="Times New Roman" w:cs="Times New Roman"/>
        <w:sz w:val="15"/>
        <w:szCs w:val="15"/>
      </w:rPr>
    </w:pPr>
    <w:r>
      <w:rPr>
        <w:sz w:val="15"/>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C6C10B5">
                          <w:pPr>
                            <w:pStyle w:val="3"/>
                            <w:rPr>
                              <w:rFonts w:hint="default" w:ascii="Times New Roman" w:hAnsi="Times New Roman" w:cs="Times New Roman"/>
                              <w:sz w:val="28"/>
                              <w:szCs w:val="28"/>
                            </w:rPr>
                          </w:pP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1</w:t>
                          </w:r>
                          <w:r>
                            <w:rPr>
                              <w:rFonts w:hint="default" w:ascii="Times New Roman" w:hAnsi="Times New Roman" w:cs="Times New Roman"/>
                              <w:sz w:val="28"/>
                              <w:szCs w:val="2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path/>
              <v:fill on="f" focussize="0,0"/>
              <v:stroke on="f"/>
              <v:imagedata o:title=""/>
              <o:lock v:ext="edit" aspectratio="f"/>
              <v:textbox inset="0mm,0mm,0mm,0mm" style="mso-fit-shape-to-text:t;">
                <w:txbxContent>
                  <w:p w14:paraId="6C6C10B5">
                    <w:pPr>
                      <w:pStyle w:val="3"/>
                      <w:rPr>
                        <w:rFonts w:hint="default" w:ascii="Times New Roman" w:hAnsi="Times New Roman" w:cs="Times New Roman"/>
                        <w:sz w:val="28"/>
                        <w:szCs w:val="28"/>
                      </w:rPr>
                    </w:pP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1</w:t>
                    </w:r>
                    <w:r>
                      <w:rPr>
                        <w:rFonts w:hint="default" w:ascii="Times New Roman" w:hAnsi="Times New Roman" w:cs="Times New Roman"/>
                        <w:sz w:val="28"/>
                        <w:szCs w:val="28"/>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EE22463"/>
    <w:multiLevelType w:val="singleLevel"/>
    <w:tmpl w:val="EEE22463"/>
    <w:lvl w:ilvl="0" w:tentative="0">
      <w:start w:val="1"/>
      <w:numFmt w:val="decimal"/>
      <w:suff w:val="nothing"/>
      <w:lvlText w:val="%1、"/>
      <w:lvlJc w:val="left"/>
    </w:lvl>
  </w:abstractNum>
  <w:abstractNum w:abstractNumId="1">
    <w:nsid w:val="F6C1544C"/>
    <w:multiLevelType w:val="singleLevel"/>
    <w:tmpl w:val="F6C1544C"/>
    <w:lvl w:ilvl="0" w:tentative="0">
      <w:start w:val="1"/>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6E7E3DD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keepNext w:val="0"/>
      <w:keepLines w:val="0"/>
      <w:widowControl w:val="0"/>
      <w:suppressLineNumbers w:val="0"/>
      <w:spacing w:before="0" w:beforeAutospacing="0" w:afterAutospacing="0" w:line="360" w:lineRule="auto"/>
      <w:ind w:left="0" w:right="0" w:firstLine="720" w:firstLineChars="200"/>
      <w:jc w:val="both"/>
    </w:pPr>
    <w:rPr>
      <w:szCs w:val="24"/>
      <w:lang w:bidi="ar"/>
    </w:rPr>
  </w:style>
  <w:style w:type="paragraph" w:styleId="3">
    <w:name w:val="footer"/>
    <w:basedOn w:val="1"/>
    <w:qFormat/>
    <w:uiPriority w:val="0"/>
    <w:pPr>
      <w:tabs>
        <w:tab w:val="center" w:pos="4153"/>
        <w:tab w:val="right" w:pos="8306"/>
      </w:tabs>
      <w:snapToGrid w:val="0"/>
      <w:jc w:val="left"/>
    </w:pPr>
    <w:rPr>
      <w:sz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11</Pages>
  <Words>0</Words>
  <Characters>0</Characters>
  <Lines>0</Lines>
  <Paragraphs>0</Paragraphs>
  <TotalTime>0</TotalTime>
  <ScaleCrop>false</ScaleCrop>
  <LinksUpToDate>false</LinksUpToDate>
  <CharactersWithSpaces>0</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2026-09-24T01:52:54Z</dcterms:created>
  <dc:creator>admin</dc:creator>
  <cp:lastModifiedBy>11</cp:lastModifiedBy>
  <dcterms:modified xsi:type="dcterms:W3CDTF">2026-09-24T01:53:18Z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KSOTemplateDocerSaveRecord">
    <vt:lpwstr>eyJoZGlkIjoiMDNlY2NmNjEzODYzZTU3Y2MxMjJhZDBhNTJmMTkwMzIiLCJ1c2VySWQiOiI2OTM5ODA5NzEifQ==</vt:lpwstr>
  </property>
  <property fmtid="{D5CDD505-2E9C-101B-9397-08002B2CF9AE}" pid="4" name="ICV">
    <vt:lpwstr>14596F3709674E3D8B80E8BB3F87530A_12</vt:lpwstr>
  </property>
</Properties>
</file>